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BB15A" w14:textId="77777777" w:rsidR="00B238AD" w:rsidRDefault="00445D03" w:rsidP="00D35888">
      <w:pPr>
        <w:jc w:val="center"/>
      </w:pPr>
      <w:r>
        <w:rPr>
          <w:noProof/>
          <w:lang w:eastAsia="en-GB"/>
        </w:rPr>
        <w:drawing>
          <wp:inline distT="0" distB="0" distL="0" distR="0" wp14:anchorId="6872533E" wp14:editId="04F05C73">
            <wp:extent cx="4962525" cy="1838325"/>
            <wp:effectExtent l="0" t="0" r="9525" b="9525"/>
            <wp:docPr id="1" name="Picture 1" descr="C:\Users\tara\AppData\Local\Microsoft\Windows\Temporary Internet Files\Content.Outlook\ZYR1RNGW\GPC SIPP logo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tara\AppData\Local\Microsoft\Windows\Temporary Internet Files\Content.Outlook\ZYR1RNGW\GPC SIPP logo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FBBBD" w14:textId="77777777" w:rsidR="00D35888" w:rsidRDefault="00D35888" w:rsidP="00D35888">
      <w:pPr>
        <w:jc w:val="center"/>
      </w:pPr>
    </w:p>
    <w:p w14:paraId="6A5206D1" w14:textId="77777777" w:rsidR="00D35888" w:rsidRDefault="00D35888" w:rsidP="00D35888">
      <w:pPr>
        <w:jc w:val="center"/>
      </w:pPr>
    </w:p>
    <w:p w14:paraId="67DC72DD" w14:textId="77777777" w:rsidR="00D35888" w:rsidRDefault="00D35888" w:rsidP="00D35888">
      <w:pPr>
        <w:jc w:val="center"/>
      </w:pPr>
    </w:p>
    <w:p w14:paraId="0F2F7A8E" w14:textId="77777777" w:rsidR="00D35888" w:rsidRPr="006B2502" w:rsidRDefault="00D35888" w:rsidP="009669E5">
      <w:pPr>
        <w:jc w:val="center"/>
        <w:outlineLvl w:val="0"/>
        <w:rPr>
          <w:b/>
          <w:color w:val="7030A0"/>
          <w:sz w:val="44"/>
          <w:szCs w:val="44"/>
        </w:rPr>
      </w:pPr>
      <w:r w:rsidRPr="006B2502">
        <w:rPr>
          <w:b/>
          <w:color w:val="7030A0"/>
          <w:sz w:val="44"/>
          <w:szCs w:val="44"/>
        </w:rPr>
        <w:t xml:space="preserve"> </w:t>
      </w:r>
      <w:r w:rsidR="003E7DB2">
        <w:rPr>
          <w:b/>
          <w:color w:val="7030A0"/>
          <w:sz w:val="44"/>
          <w:szCs w:val="44"/>
        </w:rPr>
        <w:t xml:space="preserve">SIPP </w:t>
      </w:r>
      <w:r w:rsidRPr="006B2502">
        <w:rPr>
          <w:b/>
          <w:color w:val="7030A0"/>
          <w:sz w:val="44"/>
          <w:szCs w:val="44"/>
        </w:rPr>
        <w:t xml:space="preserve">fee schedule </w:t>
      </w:r>
    </w:p>
    <w:p w14:paraId="2B7D4D23" w14:textId="77777777" w:rsidR="00D35888" w:rsidRDefault="00D35888" w:rsidP="00D35888">
      <w:pPr>
        <w:jc w:val="center"/>
        <w:rPr>
          <w:b/>
          <w:color w:val="7030A0"/>
          <w:sz w:val="32"/>
          <w:szCs w:val="32"/>
        </w:rPr>
      </w:pPr>
    </w:p>
    <w:p w14:paraId="0105105C" w14:textId="77777777" w:rsidR="00E81714" w:rsidRDefault="00E81714" w:rsidP="00D35888">
      <w:pPr>
        <w:jc w:val="center"/>
        <w:rPr>
          <w:color w:val="000000" w:themeColor="text1"/>
          <w:sz w:val="24"/>
          <w:szCs w:val="24"/>
        </w:rPr>
      </w:pPr>
    </w:p>
    <w:p w14:paraId="3A514854" w14:textId="77777777" w:rsidR="00E81714" w:rsidRDefault="00E81714" w:rsidP="00D35888">
      <w:pPr>
        <w:jc w:val="center"/>
        <w:rPr>
          <w:color w:val="000000" w:themeColor="text1"/>
          <w:sz w:val="24"/>
          <w:szCs w:val="24"/>
        </w:rPr>
      </w:pPr>
    </w:p>
    <w:p w14:paraId="5B508D1D" w14:textId="77777777" w:rsidR="00E81714" w:rsidRPr="00E81714" w:rsidRDefault="00E81714" w:rsidP="00D35888">
      <w:pPr>
        <w:jc w:val="center"/>
        <w:rPr>
          <w:b/>
          <w:color w:val="7030A0"/>
          <w:sz w:val="24"/>
          <w:szCs w:val="24"/>
        </w:rPr>
      </w:pPr>
      <w:r w:rsidRPr="00E81714">
        <w:rPr>
          <w:b/>
          <w:color w:val="7030A0"/>
          <w:sz w:val="24"/>
          <w:szCs w:val="24"/>
        </w:rPr>
        <w:t>__________________________________________________________________________</w:t>
      </w:r>
    </w:p>
    <w:p w14:paraId="3C428B98" w14:textId="77777777" w:rsidR="00E81714" w:rsidRPr="00E81714" w:rsidRDefault="00E81714" w:rsidP="009669E5">
      <w:pPr>
        <w:jc w:val="center"/>
        <w:outlineLvl w:val="0"/>
        <w:rPr>
          <w:color w:val="000000" w:themeColor="text1"/>
        </w:rPr>
      </w:pPr>
      <w:r w:rsidRPr="006B2502">
        <w:rPr>
          <w:b/>
          <w:color w:val="000000" w:themeColor="text1"/>
        </w:rPr>
        <w:t>This document helps you understand the fees for establishing and administering a G</w:t>
      </w:r>
      <w:r w:rsidR="00BB7B70">
        <w:rPr>
          <w:b/>
          <w:color w:val="000000" w:themeColor="text1"/>
        </w:rPr>
        <w:t>PC S</w:t>
      </w:r>
      <w:r w:rsidR="00FE6EAB">
        <w:rPr>
          <w:b/>
          <w:color w:val="000000" w:themeColor="text1"/>
        </w:rPr>
        <w:t>IPP</w:t>
      </w:r>
      <w:r w:rsidR="00BB7B70">
        <w:rPr>
          <w:b/>
          <w:color w:val="000000" w:themeColor="text1"/>
        </w:rPr>
        <w:t xml:space="preserve"> Ltd</w:t>
      </w:r>
      <w:r w:rsidRPr="00E81714">
        <w:rPr>
          <w:color w:val="000000" w:themeColor="text1"/>
        </w:rPr>
        <w:t xml:space="preserve">.  </w:t>
      </w:r>
    </w:p>
    <w:p w14:paraId="5FF21BEF" w14:textId="77777777" w:rsidR="007C4701" w:rsidRDefault="007C4701" w:rsidP="007C470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This is a legally binding document between you and G</w:t>
      </w:r>
      <w:r w:rsidR="00BB7B70">
        <w:rPr>
          <w:color w:val="000000" w:themeColor="text1"/>
          <w:sz w:val="24"/>
          <w:szCs w:val="24"/>
        </w:rPr>
        <w:t>PC SIPP Ltd</w:t>
      </w:r>
    </w:p>
    <w:p w14:paraId="6626983B" w14:textId="77777777" w:rsidR="00E81714" w:rsidRPr="00E81714" w:rsidRDefault="00E81714" w:rsidP="00D35888">
      <w:pPr>
        <w:jc w:val="center"/>
        <w:rPr>
          <w:color w:val="000000" w:themeColor="text1"/>
          <w:sz w:val="24"/>
          <w:szCs w:val="24"/>
        </w:rPr>
      </w:pPr>
    </w:p>
    <w:p w14:paraId="71AB0BA9" w14:textId="77777777" w:rsidR="00D35888" w:rsidRDefault="00D35888" w:rsidP="00D35888">
      <w:pPr>
        <w:jc w:val="center"/>
        <w:rPr>
          <w:b/>
          <w:color w:val="7030A0"/>
          <w:sz w:val="32"/>
          <w:szCs w:val="32"/>
        </w:rPr>
      </w:pPr>
    </w:p>
    <w:p w14:paraId="49EB58BE" w14:textId="77777777" w:rsidR="00D35888" w:rsidRDefault="00113BEA" w:rsidP="00D35888">
      <w:pPr>
        <w:jc w:val="center"/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en-GB"/>
        </w:rPr>
        <w:pict w14:anchorId="141762F9">
          <v:rect id="_x0000_s1026" style="position:absolute;left:0;text-align:left;margin-left:-10.5pt;margin-top:27.45pt;width:2in;height:24pt;z-index:251658240" strokecolor="white [3212]"/>
        </w:pict>
      </w:r>
      <w:r w:rsidR="00D35888" w:rsidRPr="00D35888">
        <w:rPr>
          <w:b/>
          <w:noProof/>
          <w:color w:val="7030A0"/>
          <w:sz w:val="32"/>
          <w:szCs w:val="32"/>
          <w:lang w:eastAsia="en-GB"/>
        </w:rPr>
        <w:drawing>
          <wp:inline distT="0" distB="0" distL="0" distR="0" wp14:anchorId="603CB0F7" wp14:editId="135DCAA6">
            <wp:extent cx="5731510" cy="1214337"/>
            <wp:effectExtent l="19050" t="0" r="2540" b="0"/>
            <wp:docPr id="5" name="Picture 1" descr="cid:image005.jpg@01CBE4B7.9AFEA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CBE4B7.9AFEA9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83EB9" w14:textId="77777777" w:rsidR="00D35888" w:rsidRDefault="00D35888" w:rsidP="00D35888">
      <w:pPr>
        <w:jc w:val="center"/>
        <w:rPr>
          <w:b/>
          <w:color w:val="7030A0"/>
          <w:sz w:val="32"/>
          <w:szCs w:val="32"/>
        </w:rPr>
      </w:pPr>
    </w:p>
    <w:tbl>
      <w:tblPr>
        <w:tblpPr w:leftFromText="180" w:rightFromText="180" w:vertAnchor="text" w:horzAnchor="margin" w:tblpY="-284"/>
        <w:tblW w:w="9242" w:type="dxa"/>
        <w:tblLook w:val="04A0" w:firstRow="1" w:lastRow="0" w:firstColumn="1" w:lastColumn="0" w:noHBand="0" w:noVBand="1"/>
      </w:tblPr>
      <w:tblGrid>
        <w:gridCol w:w="8026"/>
        <w:gridCol w:w="1216"/>
      </w:tblGrid>
      <w:tr w:rsidR="00D905BF" w:rsidRPr="00D35888" w14:paraId="5C554ECE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0E58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38C3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511699C7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737D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46E6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35BF9ADC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B165848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Annual administration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345BF10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</w:tr>
      <w:tr w:rsidR="00D905BF" w:rsidRPr="00D35888" w14:paraId="26A24BC7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BFCB" w14:textId="77777777" w:rsidR="00D905BF" w:rsidRPr="00824302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24302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Annual Administration fees are paid in advance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885D" w14:textId="77777777" w:rsidR="00D905BF" w:rsidRPr="00D35888" w:rsidRDefault="00D905BF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34068A7E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CBAA" w14:textId="77777777" w:rsidR="00D905BF" w:rsidRPr="00D35888" w:rsidRDefault="00BC379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Basic annual administration fee for all GPC SIPPS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FF57" w14:textId="77777777" w:rsidR="00EB4413" w:rsidRDefault="00D905BF" w:rsidP="00993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BC379F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BC379F" w:rsidRPr="00D35888" w14:paraId="78E5B3F9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BCE19" w14:textId="77777777" w:rsidR="00BC379F" w:rsidRDefault="00BC379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The following are not covered by the SIPP annual administration fee and will need to be applied to the basic administration fee if your scheme holds either a UK commercial property and/or any non-standard assets:</w:t>
            </w:r>
          </w:p>
          <w:p w14:paraId="4C1E9C7A" w14:textId="77777777" w:rsidR="00BC379F" w:rsidRDefault="00BC379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D65D6DA" w14:textId="77777777" w:rsidR="00BC379F" w:rsidRDefault="00BC379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SIPP holding an existing non-standard asset- annual fee  </w:t>
            </w:r>
          </w:p>
          <w:p w14:paraId="56F03D90" w14:textId="77777777" w:rsidR="00BC379F" w:rsidRDefault="00BC379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SIPP holding UK commercial property- annual fees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6AB62" w14:textId="77777777" w:rsidR="00BC379F" w:rsidRDefault="00BC379F" w:rsidP="00993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£400</w:t>
            </w:r>
          </w:p>
          <w:p w14:paraId="3899A1EC" w14:textId="77777777" w:rsidR="00BC379F" w:rsidRDefault="00BC379F" w:rsidP="009937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£234</w:t>
            </w:r>
          </w:p>
        </w:tc>
      </w:tr>
      <w:tr w:rsidR="00EB4413" w:rsidRPr="00D35888" w14:paraId="4688D897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63E1C" w14:textId="77777777" w:rsidR="00EB4413" w:rsidRDefault="004A225E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Additional fee for more than one property (per property)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98C50" w14:textId="77777777" w:rsidR="00CC28D3" w:rsidRDefault="00CC28D3" w:rsidP="00CC2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£200</w:t>
            </w:r>
          </w:p>
        </w:tc>
      </w:tr>
      <w:tr w:rsidR="00D905BF" w:rsidRPr="00D35888" w14:paraId="50A1D1CD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F8B1" w14:textId="77777777" w:rsidR="00BC379F" w:rsidRDefault="00BC379F" w:rsidP="00D90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  <w:p w14:paraId="4CF65DFD" w14:textId="77777777" w:rsidR="001458D9" w:rsidRPr="005914B3" w:rsidRDefault="001458D9" w:rsidP="001458D9">
            <w:pPr>
              <w:jc w:val="both"/>
              <w:rPr>
                <w:u w:val="single"/>
              </w:rPr>
            </w:pPr>
            <w:r w:rsidRPr="005914B3">
              <w:rPr>
                <w:u w:val="single"/>
              </w:rPr>
              <w:t>Notes</w:t>
            </w:r>
          </w:p>
          <w:p w14:paraId="22809BE3" w14:textId="77777777" w:rsidR="001458D9" w:rsidRPr="005914B3" w:rsidRDefault="001458D9" w:rsidP="001458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5914B3">
              <w:t>If your SIPP meets all 3 of the above criteria, then a 2</w:t>
            </w:r>
            <w:r w:rsidR="00720D9E">
              <w:t>0</w:t>
            </w:r>
            <w:r w:rsidRPr="005914B3">
              <w:t xml:space="preserve">% discount will be applied to your net costing. </w:t>
            </w:r>
          </w:p>
          <w:p w14:paraId="3AE9194C" w14:textId="77777777" w:rsidR="001458D9" w:rsidRPr="005914B3" w:rsidRDefault="001458D9" w:rsidP="001458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5914B3">
              <w:t>Typical standard assets include:</w:t>
            </w:r>
          </w:p>
          <w:p w14:paraId="1B7C5D8A" w14:textId="77777777" w:rsidR="001458D9" w:rsidRPr="005914B3" w:rsidRDefault="001458D9" w:rsidP="001458D9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jc w:val="both"/>
            </w:pPr>
            <w:r w:rsidRPr="005914B3">
              <w:t>FCA approved investments – OEICS, unit trusts, bank accounts, listed stocks, most UK commercial property and land.  However, hotel rooms, storage pods etc. will be classified as non-standard.</w:t>
            </w:r>
          </w:p>
          <w:p w14:paraId="0D1D4450" w14:textId="77777777" w:rsidR="001458D9" w:rsidRPr="005914B3" w:rsidRDefault="001458D9" w:rsidP="001458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5914B3">
              <w:t xml:space="preserve">Typical non-standard assets include: unlisted company shares and unregulated investments. </w:t>
            </w:r>
          </w:p>
          <w:p w14:paraId="36D267FC" w14:textId="77777777" w:rsidR="001458D9" w:rsidRPr="005914B3" w:rsidRDefault="001458D9" w:rsidP="001458D9">
            <w:pPr>
              <w:jc w:val="both"/>
            </w:pPr>
          </w:p>
          <w:tbl>
            <w:tblPr>
              <w:tblW w:w="9489" w:type="dxa"/>
              <w:tblLook w:val="04A0" w:firstRow="1" w:lastRow="0" w:firstColumn="1" w:lastColumn="0" w:noHBand="0" w:noVBand="1"/>
            </w:tblPr>
            <w:tblGrid>
              <w:gridCol w:w="4180"/>
              <w:gridCol w:w="2704"/>
              <w:gridCol w:w="926"/>
            </w:tblGrid>
            <w:tr w:rsidR="001458D9" w:rsidRPr="005914B3" w14:paraId="7FB29C55" w14:textId="77777777" w:rsidTr="002D345F">
              <w:trPr>
                <w:trHeight w:val="97"/>
              </w:trPr>
              <w:tc>
                <w:tcPr>
                  <w:tcW w:w="5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C0DDB" w14:textId="77777777" w:rsidR="001458D9" w:rsidRDefault="001458D9" w:rsidP="00113BEA">
                  <w:pPr>
                    <w:framePr w:hSpace="180" w:wrap="around" w:vAnchor="text" w:hAnchor="margin" w:y="-284"/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5914B3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Scenario 1</w:t>
                  </w:r>
                </w:p>
                <w:p w14:paraId="3ADC6632" w14:textId="77777777" w:rsidR="001458D9" w:rsidRPr="005914B3" w:rsidRDefault="001458D9" w:rsidP="00113BEA">
                  <w:pPr>
                    <w:framePr w:hSpace="180" w:wrap="around" w:vAnchor="text" w:hAnchor="margin" w:y="-284"/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496BA0" w14:textId="77777777" w:rsidR="001458D9" w:rsidRPr="005914B3" w:rsidRDefault="001458D9" w:rsidP="00113BEA">
                  <w:pPr>
                    <w:framePr w:hSpace="180" w:wrap="around" w:vAnchor="text" w:hAnchor="margin" w:y="-284"/>
                    <w:jc w:val="right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</w:p>
              </w:tc>
            </w:tr>
            <w:tr w:rsidR="001458D9" w:rsidRPr="005914B3" w14:paraId="495F5F79" w14:textId="77777777" w:rsidTr="002D345F">
              <w:trPr>
                <w:trHeight w:val="902"/>
              </w:trPr>
              <w:tc>
                <w:tcPr>
                  <w:tcW w:w="5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246676" w14:textId="77777777" w:rsidR="001458D9" w:rsidRPr="005914B3" w:rsidRDefault="001458D9" w:rsidP="00113BEA">
                  <w:pPr>
                    <w:framePr w:hSpace="180" w:wrap="around" w:vAnchor="text" w:hAnchor="margin" w:y="-284"/>
                    <w:jc w:val="both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5914B3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Your SIPP holds a non-standard asset i.e. Harlequin, SCS Farmland, </w:t>
                  </w:r>
                  <w:proofErr w:type="spellStart"/>
                  <w:r w:rsidRPr="005914B3">
                    <w:rPr>
                      <w:rFonts w:eastAsia="Times New Roman" w:cs="Calibri"/>
                      <w:color w:val="000000"/>
                      <w:lang w:eastAsia="en-GB"/>
                    </w:rPr>
                    <w:t>Agro</w:t>
                  </w:r>
                  <w:proofErr w:type="spellEnd"/>
                  <w:r w:rsidRPr="005914B3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Energy and/or Invest US to name a few. </w:t>
                  </w:r>
                </w:p>
                <w:p w14:paraId="497B80D4" w14:textId="77777777" w:rsidR="001458D9" w:rsidRPr="005914B3" w:rsidRDefault="001458D9" w:rsidP="00113BEA">
                  <w:pPr>
                    <w:framePr w:hSpace="180" w:wrap="around" w:vAnchor="text" w:hAnchor="margin" w:y="-284"/>
                    <w:jc w:val="both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</w:p>
                <w:p w14:paraId="220A1532" w14:textId="77777777" w:rsidR="001458D9" w:rsidRDefault="001458D9" w:rsidP="00113BEA">
                  <w:pPr>
                    <w:framePr w:hSpace="180" w:wrap="around" w:vAnchor="text" w:hAnchor="margin" w:y="-284"/>
                    <w:jc w:val="both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</w:p>
                <w:p w14:paraId="77DBD0EA" w14:textId="77777777" w:rsidR="00C70CDF" w:rsidRDefault="00C70CDF" w:rsidP="00113BEA">
                  <w:pPr>
                    <w:framePr w:hSpace="180" w:wrap="around" w:vAnchor="text" w:hAnchor="margin" w:y="-284"/>
                    <w:jc w:val="both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</w:p>
                <w:p w14:paraId="46EA9239" w14:textId="77777777" w:rsidR="00C70CDF" w:rsidRDefault="00C70CDF" w:rsidP="00113BEA">
                  <w:pPr>
                    <w:framePr w:hSpace="180" w:wrap="around" w:vAnchor="text" w:hAnchor="margin" w:y="-284"/>
                    <w:jc w:val="both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</w:p>
                <w:p w14:paraId="2FF8803B" w14:textId="77777777" w:rsidR="00C70CDF" w:rsidRDefault="00C70CDF" w:rsidP="00113BEA">
                  <w:pPr>
                    <w:framePr w:hSpace="180" w:wrap="around" w:vAnchor="text" w:hAnchor="margin" w:y="-284"/>
                    <w:jc w:val="both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</w:p>
                <w:p w14:paraId="6B5C2402" w14:textId="77777777" w:rsidR="00C70CDF" w:rsidRPr="005914B3" w:rsidRDefault="00C70CDF" w:rsidP="00113BEA">
                  <w:pPr>
                    <w:framePr w:hSpace="180" w:wrap="around" w:vAnchor="text" w:hAnchor="margin" w:y="-284"/>
                    <w:jc w:val="both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DE52FE" w14:textId="77777777" w:rsidR="001458D9" w:rsidRPr="005914B3" w:rsidRDefault="001458D9" w:rsidP="00113BEA">
                  <w:pPr>
                    <w:framePr w:hSpace="180" w:wrap="around" w:vAnchor="text" w:hAnchor="margin" w:y="-284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5914B3">
                    <w:rPr>
                      <w:rFonts w:eastAsia="Times New Roman" w:cs="Calibri"/>
                      <w:color w:val="000000"/>
                      <w:lang w:eastAsia="en-GB"/>
                    </w:rPr>
                    <w:t>Annual administration fee</w:t>
                  </w:r>
                </w:p>
                <w:p w14:paraId="1422B444" w14:textId="77777777" w:rsidR="001458D9" w:rsidRPr="005914B3" w:rsidRDefault="001458D9" w:rsidP="00113BEA">
                  <w:pPr>
                    <w:framePr w:hSpace="180" w:wrap="around" w:vAnchor="text" w:hAnchor="margin" w:y="-284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5914B3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Non- standard annual charge  </w:t>
                  </w:r>
                </w:p>
                <w:p w14:paraId="126A4DF4" w14:textId="77777777" w:rsidR="001458D9" w:rsidRPr="00031265" w:rsidRDefault="00031265" w:rsidP="00113BEA">
                  <w:pPr>
                    <w:framePr w:hSpace="180" w:wrap="around" w:vAnchor="text" w:hAnchor="margin" w:y="-284"/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Total</w:t>
                  </w:r>
                </w:p>
                <w:p w14:paraId="133D346E" w14:textId="77777777" w:rsidR="001458D9" w:rsidRPr="005914B3" w:rsidRDefault="001458D9" w:rsidP="00113BEA">
                  <w:pPr>
                    <w:framePr w:hSpace="180" w:wrap="around" w:vAnchor="text" w:hAnchor="margin" w:y="-284"/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110893" w14:textId="77777777" w:rsidR="001458D9" w:rsidRPr="005914B3" w:rsidRDefault="001458D9" w:rsidP="00113BEA">
                  <w:pPr>
                    <w:framePr w:hSpace="180" w:wrap="around" w:vAnchor="text" w:hAnchor="margin" w:y="-284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5914B3">
                    <w:rPr>
                      <w:rFonts w:eastAsia="Times New Roman" w:cs="Calibri"/>
                      <w:color w:val="000000"/>
                      <w:lang w:eastAsia="en-GB"/>
                    </w:rPr>
                    <w:t>£296</w:t>
                  </w:r>
                </w:p>
                <w:p w14:paraId="5E82B41C" w14:textId="77777777" w:rsidR="001458D9" w:rsidRPr="005914B3" w:rsidRDefault="001458D9" w:rsidP="00113BEA">
                  <w:pPr>
                    <w:framePr w:hSpace="180" w:wrap="around" w:vAnchor="text" w:hAnchor="margin" w:y="-284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5914B3">
                    <w:rPr>
                      <w:rFonts w:eastAsia="Times New Roman" w:cs="Calibri"/>
                      <w:color w:val="000000"/>
                      <w:lang w:eastAsia="en-GB"/>
                    </w:rPr>
                    <w:t>£400</w:t>
                  </w:r>
                </w:p>
                <w:p w14:paraId="574485AA" w14:textId="77777777" w:rsidR="001458D9" w:rsidRPr="005914B3" w:rsidRDefault="001458D9" w:rsidP="00113BEA">
                  <w:pPr>
                    <w:framePr w:hSpace="180" w:wrap="around" w:vAnchor="text" w:hAnchor="margin" w:y="-284"/>
                    <w:rPr>
                      <w:rFonts w:eastAsia="Times New Roman" w:cs="Calibri"/>
                      <w:color w:val="000000"/>
                      <w:lang w:eastAsia="en-GB"/>
                    </w:rPr>
                  </w:pPr>
                </w:p>
                <w:p w14:paraId="7AC8AF62" w14:textId="77777777" w:rsidR="001458D9" w:rsidRPr="005914B3" w:rsidRDefault="001458D9" w:rsidP="00113BEA">
                  <w:pPr>
                    <w:framePr w:hSpace="180" w:wrap="around" w:vAnchor="text" w:hAnchor="margin" w:y="-284"/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5914B3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£696</w:t>
                  </w:r>
                </w:p>
                <w:p w14:paraId="7FFD40A1" w14:textId="77777777" w:rsidR="001458D9" w:rsidRPr="005914B3" w:rsidRDefault="001458D9" w:rsidP="00113BEA">
                  <w:pPr>
                    <w:framePr w:hSpace="180" w:wrap="around" w:vAnchor="text" w:hAnchor="margin" w:y="-284"/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</w:p>
                <w:p w14:paraId="31A54E69" w14:textId="77777777" w:rsidR="001458D9" w:rsidRPr="005914B3" w:rsidRDefault="001458D9" w:rsidP="00113BEA">
                  <w:pPr>
                    <w:framePr w:hSpace="180" w:wrap="around" w:vAnchor="text" w:hAnchor="margin" w:y="-284"/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</w:p>
                <w:p w14:paraId="2DBDD79B" w14:textId="77777777" w:rsidR="001458D9" w:rsidRPr="005914B3" w:rsidRDefault="001458D9" w:rsidP="00113BEA">
                  <w:pPr>
                    <w:framePr w:hSpace="180" w:wrap="around" w:vAnchor="text" w:hAnchor="margin" w:y="-284"/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</w:p>
                <w:p w14:paraId="67051765" w14:textId="77777777" w:rsidR="001458D9" w:rsidRPr="005914B3" w:rsidRDefault="001458D9" w:rsidP="00113BEA">
                  <w:pPr>
                    <w:framePr w:hSpace="180" w:wrap="around" w:vAnchor="text" w:hAnchor="margin" w:y="-284"/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</w:p>
              </w:tc>
            </w:tr>
          </w:tbl>
          <w:p w14:paraId="6ADE805E" w14:textId="77777777" w:rsidR="001458D9" w:rsidRDefault="001458D9" w:rsidP="00D90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  <w:p w14:paraId="74EF8710" w14:textId="56E6F6FD" w:rsidR="001458D9" w:rsidRDefault="001458D9" w:rsidP="00D90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  <w:p w14:paraId="759E293D" w14:textId="4FA1077D" w:rsidR="00FB643E" w:rsidRDefault="00FB643E" w:rsidP="00D90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  <w:p w14:paraId="6FA929D6" w14:textId="47B6F85E" w:rsidR="00FB643E" w:rsidRDefault="00FB643E" w:rsidP="00D90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  <w:p w14:paraId="51631147" w14:textId="77777777" w:rsidR="00FB643E" w:rsidRDefault="00FB643E" w:rsidP="00D90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  <w:p w14:paraId="241D66D4" w14:textId="77777777" w:rsidR="001458D9" w:rsidRDefault="001458D9" w:rsidP="00D90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  <w:p w14:paraId="16FE89CB" w14:textId="77777777" w:rsidR="001458D9" w:rsidRDefault="001458D9" w:rsidP="00D90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  <w:p w14:paraId="3DF8DBC1" w14:textId="77777777" w:rsidR="001458D9" w:rsidRPr="009B6A7D" w:rsidRDefault="001458D9" w:rsidP="00D905B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</w:p>
          <w:p w14:paraId="0F135EFF" w14:textId="77777777" w:rsidR="00D905BF" w:rsidRPr="009B6A7D" w:rsidRDefault="00D905BF" w:rsidP="00D905B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B6A7D">
              <w:rPr>
                <w:rFonts w:ascii="Calibri" w:eastAsia="Times New Roman" w:hAnsi="Calibri" w:cs="Calibri"/>
                <w:b/>
                <w:color w:val="FFFFFF" w:themeColor="background1"/>
                <w:highlight w:val="black"/>
                <w:lang w:eastAsia="en-GB"/>
              </w:rPr>
              <w:t>Work not covered by the annual administration fee</w:t>
            </w:r>
            <w:r w:rsidRPr="009B6A7D">
              <w:rPr>
                <w:rFonts w:ascii="Calibri" w:eastAsia="Times New Roman" w:hAnsi="Calibri" w:cs="Calibri"/>
                <w:b/>
                <w:color w:val="000000"/>
                <w:highlight w:val="lightGray"/>
                <w:lang w:eastAsia="en-GB"/>
              </w:rPr>
              <w:t>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14FB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0A4A3A67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7F9C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7138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5D543E19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CAF38B7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lastRenderedPageBreak/>
              <w:t xml:space="preserve">Investing in property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91FA044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</w:tr>
      <w:tr w:rsidR="00D905BF" w:rsidRPr="00D35888" w14:paraId="5B6D6D3C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266B" w14:textId="77777777" w:rsidR="00D905BF" w:rsidRPr="00824302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</w:pPr>
            <w:r w:rsidRPr="00824302">
              <w:rPr>
                <w:rFonts w:ascii="Calibri" w:eastAsia="Times New Roman" w:hAnsi="Calibri" w:cs="Calibri"/>
                <w:color w:val="A6A6A6" w:themeColor="background1" w:themeShade="A6"/>
                <w:lang w:eastAsia="en-GB"/>
              </w:rPr>
              <w:t>Property fees do not include solicitors fees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87A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05FB0823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8A7D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Property purchase (using preferred solicitor)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A246" w14:textId="77777777" w:rsidR="00D905BF" w:rsidRPr="00D35888" w:rsidRDefault="00D905BF" w:rsidP="00CE6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E69D3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0*</w:t>
            </w:r>
          </w:p>
        </w:tc>
      </w:tr>
      <w:tr w:rsidR="00D905BF" w:rsidRPr="00D35888" w14:paraId="77CA1AA0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DCBE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Property purchase (using other solicitor)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1714" w14:textId="77777777" w:rsidR="00D905BF" w:rsidRPr="00D35888" w:rsidRDefault="00D905BF" w:rsidP="00CE6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E69D3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D905BF" w:rsidRPr="00D35888" w14:paraId="7AC192ED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6D74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Joint property purchase </w:t>
            </w: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(using preferred solicitor)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C266" w14:textId="77777777" w:rsidR="00D905BF" w:rsidRPr="00D35888" w:rsidRDefault="00D905BF" w:rsidP="00CE6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E69D3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D905BF" w:rsidRPr="00D35888" w14:paraId="54A4690D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8010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Joint property purchase </w:t>
            </w: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(using other solicitor)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CA4A" w14:textId="77777777" w:rsidR="00D905BF" w:rsidRPr="00D35888" w:rsidRDefault="00D905BF" w:rsidP="00CE6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E69D3">
              <w:rPr>
                <w:rFonts w:ascii="Calibri" w:eastAsia="Times New Roman" w:hAnsi="Calibri" w:cs="Calibri"/>
                <w:color w:val="000000"/>
                <w:lang w:eastAsia="en-GB"/>
              </w:rPr>
              <w:t>850</w:t>
            </w:r>
          </w:p>
        </w:tc>
      </w:tr>
      <w:tr w:rsidR="00D905BF" w:rsidRPr="00D35888" w14:paraId="0F53BDA4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EE57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New lease/tenancy agreement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588B" w14:textId="77777777" w:rsidR="00D905BF" w:rsidRPr="00D35888" w:rsidRDefault="00D905BF" w:rsidP="00CE6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E69D3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D905BF" w:rsidRPr="00D35888" w14:paraId="1F5A1A58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FAB2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Variation of existing lease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4864" w14:textId="77777777" w:rsidR="00D905BF" w:rsidRPr="00D35888" w:rsidRDefault="00D905BF" w:rsidP="00CE6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E69D3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D905BF" w:rsidRPr="00D35888" w14:paraId="1B0796AF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58AA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VAT registration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6286" w14:textId="77777777" w:rsidR="00D905BF" w:rsidRPr="00D35888" w:rsidRDefault="00D905BF" w:rsidP="00CE69D3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£16</w:t>
            </w:r>
            <w:r w:rsidR="00CE69D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</w:p>
        </w:tc>
      </w:tr>
      <w:tr w:rsidR="00D905BF" w:rsidRPr="00D35888" w14:paraId="70F10485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6F8D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Completion of VAT return (per annum)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1BA2" w14:textId="77777777" w:rsidR="00D905BF" w:rsidRPr="00D35888" w:rsidRDefault="00D905BF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D905BF" w:rsidRPr="00D35888" w14:paraId="242F9431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4718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Property sale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4965" w14:textId="77777777" w:rsidR="00D905BF" w:rsidRPr="00D35888" w:rsidRDefault="00D905BF" w:rsidP="00CE69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E69D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D905BF" w:rsidRPr="00D35888" w14:paraId="009F05C0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CFE0" w14:textId="77777777" w:rsidR="00D905BF" w:rsidRPr="00D35888" w:rsidRDefault="00954788" w:rsidP="00954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New Mortgage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A76E" w14:textId="77777777" w:rsidR="00D905BF" w:rsidRPr="00D35888" w:rsidRDefault="00D905BF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3366AB" w:rsidRPr="00D35888" w14:paraId="308C209A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C419B" w14:textId="77777777" w:rsidR="003366AB" w:rsidRPr="00D35888" w:rsidRDefault="003366AB" w:rsidP="0033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Mortgage Administration(per loan)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DD39E" w14:textId="77777777" w:rsidR="003366AB" w:rsidRPr="00D35888" w:rsidRDefault="003366AB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£100</w:t>
            </w:r>
          </w:p>
        </w:tc>
      </w:tr>
      <w:tr w:rsidR="003366AB" w:rsidRPr="00D35888" w14:paraId="6D0FC5E3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B835F" w14:textId="77777777" w:rsidR="003366AB" w:rsidRDefault="003366AB" w:rsidP="0033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Property Development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9BAB" w14:textId="77777777" w:rsidR="003366AB" w:rsidRPr="003366AB" w:rsidRDefault="003366AB" w:rsidP="003366A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0.25% of amount</w:t>
            </w:r>
          </w:p>
        </w:tc>
      </w:tr>
      <w:tr w:rsidR="003366AB" w:rsidRPr="00D35888" w14:paraId="70085FF6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77C58" w14:textId="77777777" w:rsidR="003366AB" w:rsidRDefault="003366AB" w:rsidP="003366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(this is applicable at each stage payment or at the end of the property development)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9FE95" w14:textId="77777777" w:rsidR="003366AB" w:rsidRDefault="003366AB" w:rsidP="003366A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1674C" w:rsidRPr="00D35888" w14:paraId="65C4792D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6454D" w14:textId="77777777" w:rsidR="00F1674C" w:rsidRDefault="00F1674C" w:rsidP="00F167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Additional Property Levy Charge for Rent Arrears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41DC" w14:textId="77777777" w:rsidR="00F1674C" w:rsidRDefault="00F1674C" w:rsidP="003366AB">
            <w:pPr>
              <w:spacing w:after="0" w:line="240" w:lineRule="auto"/>
              <w:ind w:left="360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£300</w:t>
            </w:r>
          </w:p>
        </w:tc>
      </w:tr>
      <w:tr w:rsidR="00D905BF" w:rsidRPr="00D35888" w14:paraId="02B44999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E89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F9C9" w14:textId="77777777" w:rsidR="00D905BF" w:rsidRPr="00D35888" w:rsidRDefault="00D905BF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7993B5C2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9782130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Transfer in / Out</w:t>
            </w:r>
            <w:r w:rsidRPr="00D358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709E0787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</w:tr>
      <w:tr w:rsidR="00D905BF" w:rsidRPr="00D35888" w14:paraId="1B92AFFC" w14:textId="77777777" w:rsidTr="00113BEA">
        <w:trPr>
          <w:trHeight w:val="352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0CD16" w14:textId="41671E0D" w:rsidR="00D905BF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9757" w14:textId="77777777" w:rsidR="00D905BF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53C12" w:rsidRPr="00D35888" w14:paraId="0A80FE0A" w14:textId="77777777" w:rsidTr="00113BEA">
        <w:trPr>
          <w:trHeight w:val="177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CB8AC" w14:textId="0037F05B" w:rsidR="00E53C12" w:rsidRDefault="00E53C12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QROPS transfer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56359" w14:textId="4A08582A" w:rsidR="00E53C12" w:rsidRDefault="00E53C12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</w:t>
            </w:r>
            <w:r w:rsidR="002A556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£250 </w:t>
            </w:r>
          </w:p>
        </w:tc>
      </w:tr>
      <w:tr w:rsidR="00E53C12" w:rsidRPr="00D35888" w14:paraId="4E532C3A" w14:textId="77777777" w:rsidTr="00113BEA">
        <w:trPr>
          <w:trHeight w:val="177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DBDFB" w14:textId="0F9EC123" w:rsidR="00E53C12" w:rsidRDefault="002B05A1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Abandoned QROPS transfer                                                                                                  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E01AE" w14:textId="12C69C44" w:rsidR="00E53C12" w:rsidRDefault="002B05A1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="002A556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£100</w:t>
            </w:r>
          </w:p>
        </w:tc>
      </w:tr>
      <w:tr w:rsidR="006E6241" w:rsidRPr="00D35888" w14:paraId="76759710" w14:textId="77777777" w:rsidTr="00113BEA">
        <w:trPr>
          <w:trHeight w:val="177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260B" w14:textId="77777777" w:rsidR="0098505A" w:rsidRDefault="0098505A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Sale of Unquoted shares                                                                                                                    </w:t>
            </w:r>
          </w:p>
          <w:p w14:paraId="009E697D" w14:textId="77777777" w:rsidR="006E6241" w:rsidRDefault="006E6241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Cash transfer in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8CB1" w14:textId="77777777" w:rsidR="0098505A" w:rsidRDefault="0098505A" w:rsidP="006E6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£500</w:t>
            </w:r>
          </w:p>
          <w:p w14:paraId="65BF498D" w14:textId="77777777" w:rsidR="006E6241" w:rsidRDefault="006E6241" w:rsidP="006E6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Nil</w:t>
            </w:r>
          </w:p>
        </w:tc>
      </w:tr>
      <w:tr w:rsidR="00D905BF" w:rsidRPr="00D35888" w14:paraId="343C4A09" w14:textId="77777777" w:rsidTr="00113BEA">
        <w:trPr>
          <w:trHeight w:val="329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2FC9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Cash transfer out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E5F2" w14:textId="77777777" w:rsidR="00D905BF" w:rsidRPr="00D35888" w:rsidRDefault="00D905BF" w:rsidP="00DB3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£16</w:t>
            </w:r>
            <w:r w:rsidR="00DB3BE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905BF" w:rsidRPr="00D35888" w14:paraId="1E2CD099" w14:textId="77777777" w:rsidTr="00113BEA">
        <w:trPr>
          <w:trHeight w:val="239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FBF0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specie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transfer </w:t>
            </w: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 </w:t>
            </w: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property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(per property</w:t>
            </w:r>
            <w:r w:rsidR="000F2D1A">
              <w:rPr>
                <w:rFonts w:ascii="Calibri" w:eastAsia="Times New Roman" w:hAnsi="Calibri" w:cs="Calibri"/>
                <w:color w:val="000000"/>
                <w:lang w:eastAsia="en-GB"/>
              </w:rPr>
              <w:t>/Pod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D04C" w14:textId="77777777" w:rsidR="00D905BF" w:rsidRPr="00D35888" w:rsidRDefault="00D905BF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£525 </w:t>
            </w:r>
          </w:p>
        </w:tc>
      </w:tr>
      <w:tr w:rsidR="00D905BF" w:rsidRPr="00D35888" w14:paraId="31DD3F5D" w14:textId="77777777" w:rsidTr="00113BEA">
        <w:trPr>
          <w:trHeight w:val="243"/>
        </w:trPr>
        <w:tc>
          <w:tcPr>
            <w:tcW w:w="7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4B4105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specie transfer</w:t>
            </w: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</w:t>
            </w: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investment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asset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2293" w14:textId="77777777" w:rsidR="00D905BF" w:rsidRPr="00D35888" w:rsidRDefault="00D905BF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£250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plus £50 per additional  asset</w:t>
            </w:r>
          </w:p>
        </w:tc>
      </w:tr>
      <w:tr w:rsidR="00D905BF" w:rsidRPr="00D35888" w14:paraId="17470EF7" w14:textId="77777777" w:rsidTr="00113BEA">
        <w:trPr>
          <w:trHeight w:val="239"/>
        </w:trPr>
        <w:tc>
          <w:tcPr>
            <w:tcW w:w="7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A416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968A" w14:textId="77777777" w:rsidR="00D905BF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5981E3AF" w14:textId="77777777" w:rsidTr="00113BEA">
        <w:trPr>
          <w:trHeight w:val="187"/>
        </w:trPr>
        <w:tc>
          <w:tcPr>
            <w:tcW w:w="7792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1C15E3B0" w14:textId="77777777" w:rsidR="00D905BF" w:rsidRPr="009669E5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</w:pPr>
            <w:r w:rsidRPr="009669E5"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  <w:t>Contributions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14:paraId="0ECC9522" w14:textId="77777777" w:rsidR="00D905BF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271A4301" w14:textId="77777777" w:rsidTr="00113BEA">
        <w:trPr>
          <w:trHeight w:val="187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08A277" w14:textId="77777777" w:rsidR="00D905BF" w:rsidRPr="009669E5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4D8CAA" w14:textId="77777777" w:rsidR="00D905BF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4C2FD61B" w14:textId="77777777" w:rsidTr="00113BEA">
        <w:trPr>
          <w:trHeight w:val="285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58950C2" w14:textId="77777777" w:rsidR="00D905BF" w:rsidRPr="009669E5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lang w:eastAsia="en-GB"/>
              </w:rPr>
            </w:pPr>
            <w:r w:rsidRPr="009669E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Cas</w:t>
            </w:r>
            <w:r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h contribution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EC02AF" w14:textId="77777777" w:rsidR="00D905BF" w:rsidRDefault="00D905BF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Nil</w:t>
            </w:r>
          </w:p>
        </w:tc>
      </w:tr>
      <w:tr w:rsidR="00D905BF" w:rsidRPr="00D35888" w14:paraId="5ECFD015" w14:textId="77777777" w:rsidTr="00113BEA">
        <w:trPr>
          <w:trHeight w:val="275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2359E40" w14:textId="77777777" w:rsidR="00D905BF" w:rsidRPr="009669E5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3E04F24A" w14:textId="77777777" w:rsidR="00D905BF" w:rsidRDefault="00D905BF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31438C6C" w14:textId="77777777" w:rsidTr="00113BEA">
        <w:trPr>
          <w:trHeight w:val="435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656E8F3E" w14:textId="77777777" w:rsidR="00D905BF" w:rsidRPr="009669E5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D7A20A7" w14:textId="77777777" w:rsidR="00D905BF" w:rsidRDefault="00D905BF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2BC00556" w14:textId="77777777" w:rsidTr="00113BEA">
        <w:trPr>
          <w:trHeight w:val="295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D857" w14:textId="77777777" w:rsidR="00D905BF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26E318F" w14:textId="77777777" w:rsidR="002720DD" w:rsidRDefault="002720DD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8701E62" w14:textId="77777777" w:rsidR="002720DD" w:rsidRDefault="002720DD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04A4A81" w14:textId="77777777" w:rsidR="00C70CDF" w:rsidRDefault="00C70CD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D18F37B" w14:textId="77777777" w:rsidR="00C70CDF" w:rsidRDefault="00C70CD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1418D80" w14:textId="77777777" w:rsidR="00C70CDF" w:rsidRDefault="00C70CD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ADE3CD7" w14:textId="77777777" w:rsidR="00C70CDF" w:rsidRDefault="00C70CD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AD10009" w14:textId="77777777" w:rsidR="00C70CDF" w:rsidRDefault="00C70CD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EFB43E4" w14:textId="77777777" w:rsidR="00C70CDF" w:rsidRDefault="00C70CD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8686DF3" w14:textId="77777777" w:rsidR="007E5CFC" w:rsidRDefault="007E5CFC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94EE151" w14:textId="77777777" w:rsidR="007E5CFC" w:rsidRDefault="007E5CFC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2269255" w14:textId="77777777" w:rsidR="002720DD" w:rsidRDefault="002720DD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CC8794F" w14:textId="77777777" w:rsidR="002720DD" w:rsidRDefault="002720DD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1E2888B" w14:textId="77777777" w:rsidR="002720DD" w:rsidRDefault="002720DD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A9D19DA" w14:textId="77777777" w:rsidR="002720DD" w:rsidRPr="00D35888" w:rsidRDefault="002720DD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CCD5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7DFDCD51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09974C2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Administration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A20F904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</w:tr>
      <w:tr w:rsidR="00D905BF" w:rsidRPr="00D35888" w14:paraId="1F578239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90FB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A24E" w14:textId="77777777" w:rsidR="00D905BF" w:rsidRPr="00D35888" w:rsidRDefault="00D905BF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10C5F9F1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B9028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Provision of information to a third party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4B5C" w14:textId="77777777" w:rsidR="00D905BF" w:rsidRPr="00D35888" w:rsidRDefault="00D905BF" w:rsidP="006E62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Time / cost </w:t>
            </w:r>
          </w:p>
        </w:tc>
      </w:tr>
      <w:tr w:rsidR="00D905BF" w:rsidRPr="00D35888" w14:paraId="763AFEFB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4D26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Death Claim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5FEE" w14:textId="77777777" w:rsidR="00D905BF" w:rsidRPr="00D35888" w:rsidRDefault="00D905BF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£250</w:t>
            </w:r>
          </w:p>
        </w:tc>
      </w:tr>
      <w:tr w:rsidR="00D905BF" w:rsidRPr="00D35888" w14:paraId="756BA177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4D500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Pension sharing order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378A" w14:textId="77777777" w:rsidR="00D905BF" w:rsidRPr="00D35888" w:rsidRDefault="00D905BF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</w:t>
            </w: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cost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subject to a minimum of £500</w:t>
            </w:r>
          </w:p>
        </w:tc>
      </w:tr>
      <w:tr w:rsidR="00D905BF" w:rsidRPr="00D35888" w14:paraId="7D2AB4DB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E477E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 hoc valuations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90F4" w14:textId="77777777" w:rsidR="00D905BF" w:rsidRPr="00D35888" w:rsidRDefault="00D905BF" w:rsidP="00DB3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£16</w:t>
            </w:r>
            <w:r w:rsidR="00DB3BE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905BF" w:rsidRPr="00D35888" w14:paraId="29BB58AB" w14:textId="77777777" w:rsidTr="00113BEA">
        <w:trPr>
          <w:trHeight w:val="31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3C0D" w14:textId="77777777" w:rsidR="00D905BF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1C0B9" w14:textId="77777777" w:rsidR="00D905BF" w:rsidRDefault="00D905BF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79F6BA0A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13455B56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Taking </w:t>
            </w:r>
            <w:r w:rsidRPr="00D358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Benefits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66CDA318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</w:tr>
      <w:tr w:rsidR="00D905BF" w:rsidRPr="00D35888" w14:paraId="36EDEFBE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082C" w14:textId="77777777" w:rsidR="00D905BF" w:rsidRPr="00B05D03" w:rsidRDefault="00B05D03" w:rsidP="00D905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Capped</w:t>
            </w:r>
            <w:r w:rsidR="00C177D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(Pre 06/04/2015)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413F" w14:textId="77777777" w:rsidR="00D905BF" w:rsidRPr="00D35888" w:rsidRDefault="00D905BF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905BF" w:rsidRPr="00D35888" w14:paraId="5D0F97ED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2E67" w14:textId="77777777" w:rsidR="00D905BF" w:rsidRPr="00D35888" w:rsidRDefault="00D905BF" w:rsidP="00324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Capped </w:t>
            </w:r>
            <w:r w:rsidR="00B05D03">
              <w:rPr>
                <w:rFonts w:ascii="Calibri" w:eastAsia="Times New Roman" w:hAnsi="Calibri" w:cs="Calibri"/>
                <w:color w:val="000000"/>
                <w:lang w:eastAsia="en-GB"/>
              </w:rPr>
              <w:t>Drawdown pension Review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1237" w14:textId="6155CE78" w:rsidR="00D905BF" w:rsidRPr="00D35888" w:rsidRDefault="00D905BF" w:rsidP="00DB3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£16</w:t>
            </w:r>
            <w:r w:rsidR="00DB3BE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B86ADA">
              <w:rPr>
                <w:rFonts w:ascii="Calibri" w:eastAsia="Times New Roman" w:hAnsi="Calibri" w:cs="Calibri"/>
                <w:color w:val="000000"/>
                <w:lang w:eastAsia="en-GB"/>
              </w:rPr>
              <w:t>****</w:t>
            </w:r>
          </w:p>
        </w:tc>
      </w:tr>
      <w:tr w:rsidR="00D905BF" w:rsidRPr="00D35888" w14:paraId="62A419EF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5808" w14:textId="77777777" w:rsidR="00D905BF" w:rsidRPr="00D35888" w:rsidRDefault="00324500" w:rsidP="00324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Annual Capped </w:t>
            </w:r>
            <w:r w:rsidR="00D905B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Drawdown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0B30" w14:textId="77777777" w:rsidR="00D905BF" w:rsidRPr="00D35888" w:rsidRDefault="00D905BF" w:rsidP="00DB3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5888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DB3BE3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D905BF" w:rsidRPr="00D35888" w14:paraId="693B615D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DC6F" w14:textId="77777777" w:rsidR="00D905BF" w:rsidRPr="00D35888" w:rsidRDefault="00324500" w:rsidP="00324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PAYE Setup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7CC4" w14:textId="77777777" w:rsidR="00D905BF" w:rsidRPr="00D35888" w:rsidRDefault="00D905BF" w:rsidP="00DB3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DB3BE3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D905BF" w:rsidRPr="00D35888" w14:paraId="6B4C0359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7DC" w14:textId="77777777" w:rsidR="00D905BF" w:rsidRDefault="00324500" w:rsidP="00324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Additional Fund Designation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1C0D" w14:textId="77777777" w:rsidR="00D905BF" w:rsidRPr="00D35888" w:rsidRDefault="00D905BF" w:rsidP="00DB3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324500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  <w:r w:rsidR="00DB3BE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324500" w:rsidRPr="00D35888" w14:paraId="3B622554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B5C" w14:textId="77777777" w:rsidR="00324500" w:rsidRDefault="00324500" w:rsidP="00D905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Flexible</w:t>
            </w:r>
            <w:r w:rsidR="00C177D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(Post 06/04/2015)</w:t>
            </w:r>
          </w:p>
          <w:p w14:paraId="76089657" w14:textId="77777777" w:rsidR="00324500" w:rsidRPr="00324500" w:rsidRDefault="00324500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Annual Flexible drawdown fee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C735A" w14:textId="77777777" w:rsidR="00324500" w:rsidRPr="00D35888" w:rsidRDefault="00324500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£150</w:t>
            </w:r>
          </w:p>
        </w:tc>
      </w:tr>
      <w:tr w:rsidR="00324500" w:rsidRPr="00D35888" w14:paraId="41166C5D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D4FE" w14:textId="77777777" w:rsidR="00324500" w:rsidRPr="00324500" w:rsidRDefault="00324500" w:rsidP="00D90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4500">
              <w:rPr>
                <w:rFonts w:ascii="Calibri" w:eastAsia="Times New Roman" w:hAnsi="Calibri" w:cs="Calibri"/>
                <w:color w:val="000000"/>
                <w:lang w:eastAsia="en-GB"/>
              </w:rPr>
              <w:t>Ad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ministration fee(based on the whole fund being taken immediately)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DE711" w14:textId="77777777" w:rsidR="00324500" w:rsidRDefault="00324500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£350***</w:t>
            </w:r>
          </w:p>
        </w:tc>
      </w:tr>
      <w:tr w:rsidR="002C7590" w:rsidRPr="002C7590" w14:paraId="35024AB0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808ED" w14:textId="77777777" w:rsidR="002C7590" w:rsidRPr="002C7590" w:rsidRDefault="002C7590" w:rsidP="00C177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UFPLS</w:t>
            </w:r>
            <w:r w:rsidR="00C177DB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(Post 06/04/2015)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B171C" w14:textId="77777777" w:rsidR="002C7590" w:rsidRPr="002C7590" w:rsidRDefault="002C7590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2C7590" w:rsidRPr="002C7590" w14:paraId="6C7E2A03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820A6" w14:textId="77777777" w:rsidR="002C7590" w:rsidRPr="002C7590" w:rsidRDefault="002C7590" w:rsidP="002C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Uncrystallised fund pensions lump sum (UFPLS)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94A8F" w14:textId="77777777" w:rsidR="002C7590" w:rsidRPr="002C7590" w:rsidRDefault="002C7590" w:rsidP="00D905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£50</w:t>
            </w:r>
          </w:p>
        </w:tc>
      </w:tr>
      <w:tr w:rsidR="009138DF" w:rsidRPr="002C7590" w14:paraId="068DA29D" w14:textId="77777777" w:rsidTr="00113BEA">
        <w:trPr>
          <w:trHeight w:val="30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E9BAB" w14:textId="77777777" w:rsidR="009138DF" w:rsidRDefault="009138DF" w:rsidP="002C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446BC3A" w14:textId="77777777" w:rsidR="009138DF" w:rsidRDefault="009138DF" w:rsidP="002C7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Annuity Purchase Fee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AD05" w14:textId="77777777" w:rsidR="009138DF" w:rsidRDefault="009138DF" w:rsidP="00DB3B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£16</w:t>
            </w:r>
            <w:r w:rsidR="00DB3BE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</w:tbl>
    <w:p w14:paraId="02A41603" w14:textId="77777777" w:rsidR="003E7DB2" w:rsidRPr="001E2C27" w:rsidRDefault="003E7DB2" w:rsidP="00D35888">
      <w:pPr>
        <w:jc w:val="center"/>
        <w:rPr>
          <w:b/>
          <w:color w:val="7030A0"/>
          <w:sz w:val="2"/>
          <w:szCs w:val="2"/>
        </w:rPr>
      </w:pPr>
    </w:p>
    <w:p w14:paraId="6BED34AC" w14:textId="77777777" w:rsidR="003E0031" w:rsidRPr="006B2502" w:rsidRDefault="003E0031" w:rsidP="003E0031">
      <w:pPr>
        <w:spacing w:after="0"/>
        <w:rPr>
          <w:color w:val="7030A0"/>
          <w:sz w:val="18"/>
          <w:szCs w:val="18"/>
        </w:rPr>
      </w:pPr>
      <w:r w:rsidRPr="006B2502">
        <w:rPr>
          <w:color w:val="7030A0"/>
          <w:sz w:val="18"/>
          <w:szCs w:val="18"/>
        </w:rPr>
        <w:t>____________________________________________________________________________________________________</w:t>
      </w:r>
    </w:p>
    <w:p w14:paraId="060AA48C" w14:textId="77777777" w:rsidR="003E0031" w:rsidRPr="006B2502" w:rsidRDefault="003E0031" w:rsidP="009669E5">
      <w:pPr>
        <w:spacing w:after="0"/>
        <w:outlineLvl w:val="0"/>
        <w:rPr>
          <w:b/>
          <w:color w:val="7030A0"/>
          <w:sz w:val="18"/>
          <w:szCs w:val="18"/>
        </w:rPr>
      </w:pPr>
      <w:r w:rsidRPr="006B2502">
        <w:rPr>
          <w:b/>
          <w:color w:val="7030A0"/>
          <w:sz w:val="18"/>
          <w:szCs w:val="18"/>
        </w:rPr>
        <w:t>Notes</w:t>
      </w:r>
    </w:p>
    <w:p w14:paraId="61575537" w14:textId="77777777" w:rsidR="003E0031" w:rsidRPr="006B2502" w:rsidRDefault="003E0031" w:rsidP="00D905BF">
      <w:pPr>
        <w:spacing w:after="0"/>
        <w:jc w:val="both"/>
        <w:outlineLvl w:val="0"/>
        <w:rPr>
          <w:color w:val="000000" w:themeColor="text1"/>
          <w:sz w:val="18"/>
          <w:szCs w:val="18"/>
        </w:rPr>
      </w:pPr>
      <w:r w:rsidRPr="006B2502">
        <w:rPr>
          <w:color w:val="000000" w:themeColor="text1"/>
          <w:sz w:val="18"/>
          <w:szCs w:val="18"/>
        </w:rPr>
        <w:t>All fees are subject to VAT</w:t>
      </w:r>
      <w:r w:rsidR="00135703">
        <w:rPr>
          <w:color w:val="000000" w:themeColor="text1"/>
          <w:sz w:val="18"/>
          <w:szCs w:val="18"/>
        </w:rPr>
        <w:t xml:space="preserve"> at the standard rate</w:t>
      </w:r>
    </w:p>
    <w:p w14:paraId="6E6D0E52" w14:textId="77777777" w:rsidR="00135703" w:rsidRDefault="003E0031" w:rsidP="00D905BF">
      <w:pPr>
        <w:pStyle w:val="NoSpacing"/>
        <w:jc w:val="both"/>
      </w:pPr>
      <w:r w:rsidRPr="006B2502">
        <w:rPr>
          <w:color w:val="000000" w:themeColor="text1"/>
          <w:sz w:val="18"/>
          <w:szCs w:val="18"/>
        </w:rPr>
        <w:t>Fees will be increased</w:t>
      </w:r>
      <w:r w:rsidR="003B577B">
        <w:rPr>
          <w:color w:val="000000" w:themeColor="text1"/>
          <w:sz w:val="18"/>
          <w:szCs w:val="18"/>
        </w:rPr>
        <w:t xml:space="preserve"> on the Scheme Anniversary,</w:t>
      </w:r>
      <w:r w:rsidR="003B577B" w:rsidRPr="00135703">
        <w:rPr>
          <w:color w:val="000000" w:themeColor="text1"/>
          <w:sz w:val="18"/>
          <w:szCs w:val="18"/>
        </w:rPr>
        <w:t xml:space="preserve"> </w:t>
      </w:r>
      <w:r w:rsidR="00135703" w:rsidRPr="00135703">
        <w:rPr>
          <w:sz w:val="18"/>
          <w:szCs w:val="18"/>
        </w:rPr>
        <w:t xml:space="preserve">by </w:t>
      </w:r>
      <w:r w:rsidR="00D905BF">
        <w:rPr>
          <w:sz w:val="18"/>
          <w:szCs w:val="18"/>
        </w:rPr>
        <w:t>the September increase in the Average Weekly Earnings I</w:t>
      </w:r>
      <w:r w:rsidR="00135703" w:rsidRPr="00135703">
        <w:rPr>
          <w:sz w:val="18"/>
          <w:szCs w:val="18"/>
        </w:rPr>
        <w:t>ndex</w:t>
      </w:r>
      <w:r w:rsidR="001C5522">
        <w:rPr>
          <w:sz w:val="18"/>
          <w:szCs w:val="18"/>
        </w:rPr>
        <w:t>,</w:t>
      </w:r>
      <w:r w:rsidR="00135703" w:rsidRPr="00135703">
        <w:rPr>
          <w:sz w:val="18"/>
          <w:szCs w:val="18"/>
        </w:rPr>
        <w:t xml:space="preserve"> rounded to the nearest £</w:t>
      </w:r>
      <w:r w:rsidR="001C5522">
        <w:rPr>
          <w:sz w:val="18"/>
          <w:szCs w:val="18"/>
        </w:rPr>
        <w:t>1</w:t>
      </w:r>
      <w:r w:rsidR="00135703" w:rsidRPr="00135703">
        <w:rPr>
          <w:sz w:val="18"/>
          <w:szCs w:val="18"/>
        </w:rPr>
        <w:t>.00.</w:t>
      </w:r>
    </w:p>
    <w:p w14:paraId="68CB5CD8" w14:textId="77777777" w:rsidR="003B577B" w:rsidRDefault="003B577B" w:rsidP="00D905BF">
      <w:pPr>
        <w:spacing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G</w:t>
      </w:r>
      <w:r w:rsidR="00BB7B70">
        <w:rPr>
          <w:color w:val="000000" w:themeColor="text1"/>
          <w:sz w:val="18"/>
          <w:szCs w:val="18"/>
        </w:rPr>
        <w:t>PC SIPP</w:t>
      </w:r>
      <w:r>
        <w:rPr>
          <w:color w:val="000000" w:themeColor="text1"/>
          <w:sz w:val="18"/>
          <w:szCs w:val="18"/>
        </w:rPr>
        <w:t xml:space="preserve"> reserve</w:t>
      </w:r>
      <w:r w:rsidR="00D905BF">
        <w:rPr>
          <w:color w:val="000000" w:themeColor="text1"/>
          <w:sz w:val="18"/>
          <w:szCs w:val="18"/>
        </w:rPr>
        <w:t>s</w:t>
      </w:r>
      <w:r>
        <w:rPr>
          <w:color w:val="000000" w:themeColor="text1"/>
          <w:sz w:val="18"/>
          <w:szCs w:val="18"/>
        </w:rPr>
        <w:t xml:space="preserve"> the right to charge a proportionate fee for any work undertaken on an aborted or pending transaction.  G</w:t>
      </w:r>
      <w:r w:rsidR="00BB7B70">
        <w:rPr>
          <w:color w:val="000000" w:themeColor="text1"/>
          <w:sz w:val="18"/>
          <w:szCs w:val="18"/>
        </w:rPr>
        <w:t>PC SIPP</w:t>
      </w:r>
      <w:r>
        <w:rPr>
          <w:color w:val="000000" w:themeColor="text1"/>
          <w:sz w:val="18"/>
          <w:szCs w:val="18"/>
        </w:rPr>
        <w:t xml:space="preserve"> reserves the right to implement a charge for </w:t>
      </w:r>
      <w:r w:rsidR="006E6241">
        <w:rPr>
          <w:color w:val="000000" w:themeColor="text1"/>
          <w:sz w:val="18"/>
          <w:szCs w:val="18"/>
        </w:rPr>
        <w:t>any change in legislation.</w:t>
      </w:r>
      <w:r w:rsidR="00D905BF">
        <w:rPr>
          <w:color w:val="000000" w:themeColor="text1"/>
          <w:sz w:val="18"/>
          <w:szCs w:val="18"/>
        </w:rPr>
        <w:t xml:space="preserve"> This</w:t>
      </w:r>
      <w:r w:rsidR="007C4701">
        <w:rPr>
          <w:color w:val="000000" w:themeColor="text1"/>
          <w:sz w:val="18"/>
          <w:szCs w:val="18"/>
        </w:rPr>
        <w:t xml:space="preserve"> is subject to a maximum </w:t>
      </w:r>
      <w:r w:rsidR="00D905BF">
        <w:rPr>
          <w:color w:val="000000" w:themeColor="text1"/>
          <w:sz w:val="18"/>
          <w:szCs w:val="18"/>
        </w:rPr>
        <w:t xml:space="preserve">fee </w:t>
      </w:r>
      <w:r w:rsidR="007C4701">
        <w:rPr>
          <w:color w:val="000000" w:themeColor="text1"/>
          <w:sz w:val="18"/>
          <w:szCs w:val="18"/>
        </w:rPr>
        <w:t>of £500.</w:t>
      </w:r>
    </w:p>
    <w:p w14:paraId="5CB5AA73" w14:textId="6098844E" w:rsidR="0098505A" w:rsidRPr="0098505A" w:rsidRDefault="00797C66" w:rsidP="0098505A">
      <w:pPr>
        <w:spacing w:after="0" w:line="240" w:lineRule="auto"/>
        <w:rPr>
          <w:rFonts w:eastAsiaTheme="minorEastAsia"/>
          <w:sz w:val="18"/>
          <w:szCs w:val="18"/>
          <w:lang w:eastAsia="en-GB"/>
        </w:rPr>
      </w:pPr>
      <w:r>
        <w:rPr>
          <w:rFonts w:eastAsiaTheme="minorEastAsia"/>
          <w:sz w:val="18"/>
          <w:szCs w:val="18"/>
          <w:lang w:eastAsia="en-GB"/>
        </w:rPr>
        <w:t>The Royal Bank of Scotland will pay cred</w:t>
      </w:r>
      <w:r w:rsidR="0098505A" w:rsidRPr="0098505A">
        <w:rPr>
          <w:rFonts w:eastAsiaTheme="minorEastAsia"/>
          <w:sz w:val="18"/>
          <w:szCs w:val="18"/>
          <w:lang w:eastAsia="en-GB"/>
        </w:rPr>
        <w:t>it interest at a rate of 0.</w:t>
      </w:r>
      <w:r w:rsidR="00852F67">
        <w:rPr>
          <w:rFonts w:eastAsiaTheme="minorEastAsia"/>
          <w:sz w:val="18"/>
          <w:szCs w:val="18"/>
          <w:lang w:eastAsia="en-GB"/>
        </w:rPr>
        <w:t>2</w:t>
      </w:r>
      <w:r w:rsidR="0098505A" w:rsidRPr="0098505A">
        <w:rPr>
          <w:rFonts w:eastAsiaTheme="minorEastAsia"/>
          <w:sz w:val="18"/>
          <w:szCs w:val="18"/>
          <w:lang w:eastAsia="en-GB"/>
        </w:rPr>
        <w:t xml:space="preserve">5% Gross/AER p.a. It will be paid monthly. </w:t>
      </w:r>
    </w:p>
    <w:p w14:paraId="4058F1C4" w14:textId="77777777" w:rsidR="00D905BF" w:rsidRPr="009B6A7D" w:rsidRDefault="00D905BF" w:rsidP="00D905BF">
      <w:pPr>
        <w:spacing w:after="0"/>
        <w:jc w:val="both"/>
        <w:rPr>
          <w:color w:val="000000" w:themeColor="text1"/>
          <w:sz w:val="18"/>
          <w:szCs w:val="18"/>
        </w:rPr>
      </w:pPr>
      <w:r w:rsidRPr="006B2502">
        <w:rPr>
          <w:color w:val="000000" w:themeColor="text1"/>
          <w:sz w:val="18"/>
          <w:szCs w:val="18"/>
        </w:rPr>
        <w:t xml:space="preserve">* </w:t>
      </w:r>
      <w:r w:rsidRPr="009B6A7D">
        <w:rPr>
          <w:color w:val="000000" w:themeColor="text1"/>
          <w:sz w:val="18"/>
          <w:szCs w:val="18"/>
        </w:rPr>
        <w:t>This does not cover any solicitor fees involved in obtaining security for the loan</w:t>
      </w:r>
    </w:p>
    <w:p w14:paraId="2F3FCCF0" w14:textId="77777777" w:rsidR="009B6A7D" w:rsidRDefault="003E0031" w:rsidP="00D905BF">
      <w:pPr>
        <w:spacing w:after="0"/>
        <w:jc w:val="both"/>
        <w:outlineLvl w:val="0"/>
        <w:rPr>
          <w:color w:val="000000" w:themeColor="text1"/>
          <w:sz w:val="18"/>
          <w:szCs w:val="18"/>
        </w:rPr>
      </w:pPr>
      <w:r w:rsidRPr="009B6A7D">
        <w:rPr>
          <w:color w:val="000000" w:themeColor="text1"/>
          <w:sz w:val="18"/>
          <w:szCs w:val="18"/>
        </w:rPr>
        <w:t xml:space="preserve">** </w:t>
      </w:r>
      <w:r w:rsidR="009B6A7D" w:rsidRPr="006B2502">
        <w:rPr>
          <w:color w:val="000000" w:themeColor="text1"/>
          <w:sz w:val="18"/>
          <w:szCs w:val="18"/>
        </w:rPr>
        <w:t>We do not give VAT advice and recommend that professional advice is sought from a VAT specialist</w:t>
      </w:r>
    </w:p>
    <w:p w14:paraId="3DA5D9C5" w14:textId="77777777" w:rsidR="00324500" w:rsidRDefault="00D905BF" w:rsidP="00D905BF">
      <w:pPr>
        <w:spacing w:after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</w:t>
      </w:r>
      <w:r w:rsidR="003E0031" w:rsidRPr="006B2502">
        <w:rPr>
          <w:color w:val="000000" w:themeColor="text1"/>
          <w:sz w:val="18"/>
          <w:szCs w:val="18"/>
        </w:rPr>
        <w:t>**</w:t>
      </w:r>
      <w:r w:rsidR="00324500">
        <w:rPr>
          <w:color w:val="000000" w:themeColor="text1"/>
          <w:sz w:val="18"/>
          <w:szCs w:val="18"/>
        </w:rPr>
        <w:t>Fee includes assisting with transfers in, drawdown calculations and SIPP closure</w:t>
      </w:r>
    </w:p>
    <w:p w14:paraId="1EA03874" w14:textId="77777777" w:rsidR="00AB5835" w:rsidRDefault="00324500" w:rsidP="00D905BF">
      <w:pPr>
        <w:spacing w:after="0"/>
        <w:jc w:val="both"/>
        <w:rPr>
          <w:b/>
          <w:color w:val="FFFFFF" w:themeColor="background1"/>
          <w:sz w:val="32"/>
          <w:szCs w:val="32"/>
        </w:rPr>
      </w:pPr>
      <w:r>
        <w:rPr>
          <w:color w:val="000000" w:themeColor="text1"/>
          <w:sz w:val="18"/>
          <w:szCs w:val="18"/>
        </w:rPr>
        <w:t>**** Pension review normally every three years</w:t>
      </w:r>
    </w:p>
    <w:p w14:paraId="03A28479" w14:textId="77777777" w:rsidR="00AB5835" w:rsidRDefault="00AB5835" w:rsidP="00D35888">
      <w:pPr>
        <w:jc w:val="center"/>
        <w:rPr>
          <w:b/>
          <w:color w:val="FFFFFF" w:themeColor="background1"/>
          <w:sz w:val="32"/>
          <w:szCs w:val="32"/>
        </w:rPr>
      </w:pPr>
    </w:p>
    <w:p w14:paraId="0CC0D0A1" w14:textId="77777777" w:rsidR="00AE64B4" w:rsidRDefault="00AE64B4" w:rsidP="00AE64B4">
      <w:pPr>
        <w:outlineLvl w:val="0"/>
        <w:rPr>
          <w:rFonts w:ascii="Calibri" w:hAnsi="Calibri"/>
        </w:rPr>
      </w:pPr>
      <w:r>
        <w:rPr>
          <w:rFonts w:ascii="Calibri" w:hAnsi="Calibri"/>
        </w:rPr>
        <w:t>I agree to be bound by the terms and conditions of this fee schedule.</w:t>
      </w:r>
    </w:p>
    <w:p w14:paraId="5C106C94" w14:textId="77777777" w:rsidR="00AE64B4" w:rsidRDefault="00AE64B4" w:rsidP="00AE64B4">
      <w:pPr>
        <w:outlineLvl w:val="0"/>
        <w:rPr>
          <w:rFonts w:ascii="Calibri" w:hAnsi="Calibri"/>
        </w:rPr>
      </w:pPr>
      <w:r>
        <w:rPr>
          <w:rFonts w:ascii="Calibri" w:hAnsi="Calibri"/>
        </w:rPr>
        <w:t xml:space="preserve">Member name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</w:t>
      </w:r>
    </w:p>
    <w:p w14:paraId="7D225D87" w14:textId="77777777" w:rsidR="00AE64B4" w:rsidRDefault="00AE64B4" w:rsidP="00AE64B4">
      <w:pPr>
        <w:outlineLvl w:val="0"/>
        <w:rPr>
          <w:rFonts w:ascii="Calibri" w:hAnsi="Calibri"/>
        </w:rPr>
      </w:pPr>
      <w:r>
        <w:rPr>
          <w:rFonts w:ascii="Calibri" w:hAnsi="Calibri"/>
        </w:rPr>
        <w:t>Member signature</w:t>
      </w:r>
      <w:r>
        <w:rPr>
          <w:rFonts w:ascii="Calibri" w:hAnsi="Calibri"/>
        </w:rPr>
        <w:tab/>
        <w:t>__________________________________________</w:t>
      </w:r>
    </w:p>
    <w:p w14:paraId="2A6AF63C" w14:textId="77777777" w:rsidR="00AB5835" w:rsidRDefault="00AE64B4" w:rsidP="00AE64B4">
      <w:pPr>
        <w:rPr>
          <w:b/>
          <w:color w:val="FFFFFF" w:themeColor="background1"/>
          <w:sz w:val="32"/>
          <w:szCs w:val="32"/>
        </w:rPr>
      </w:pPr>
      <w:r>
        <w:rPr>
          <w:rFonts w:ascii="Calibri" w:hAnsi="Calibri"/>
        </w:rPr>
        <w:lastRenderedPageBreak/>
        <w:t>Date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</w:t>
      </w:r>
    </w:p>
    <w:p w14:paraId="64752EBE" w14:textId="77777777" w:rsidR="00AB5835" w:rsidRDefault="00113BEA" w:rsidP="00D35888">
      <w:pPr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en-GB"/>
        </w:rPr>
        <w:pict w14:anchorId="103410C2">
          <v:rect id="_x0000_s1028" style="position:absolute;left:0;text-align:left;margin-left:-21pt;margin-top:8.95pt;width:157.5pt;height:40.5pt;z-index:251660288" strokecolor="white [3212]"/>
        </w:pict>
      </w:r>
    </w:p>
    <w:p w14:paraId="7E8F0BC8" w14:textId="77777777" w:rsidR="007C4701" w:rsidRDefault="007C4701" w:rsidP="009669E5">
      <w:pPr>
        <w:outlineLvl w:val="0"/>
        <w:rPr>
          <w:b/>
          <w:color w:val="FFFFFF" w:themeColor="background1"/>
          <w:highlight w:val="black"/>
        </w:rPr>
      </w:pPr>
    </w:p>
    <w:p w14:paraId="50C3F2EA" w14:textId="77777777" w:rsidR="00BB75F9" w:rsidRDefault="00BB75F9" w:rsidP="009669E5">
      <w:pPr>
        <w:outlineLvl w:val="0"/>
        <w:rPr>
          <w:b/>
          <w:color w:val="FFFFFF" w:themeColor="background1"/>
          <w:highlight w:val="black"/>
        </w:rPr>
      </w:pP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4927"/>
        <w:gridCol w:w="3168"/>
        <w:gridCol w:w="1054"/>
      </w:tblGrid>
      <w:tr w:rsidR="007C4701" w:rsidRPr="00D35888" w14:paraId="3292AF68" w14:textId="77777777" w:rsidTr="0028105C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084ACD35" w14:textId="77777777" w:rsidR="007C4701" w:rsidRPr="00D35888" w:rsidRDefault="007C4701" w:rsidP="007C4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Fee scenarios</w:t>
            </w:r>
            <w:r w:rsidRPr="00D358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8AF27B2" w14:textId="77777777" w:rsidR="007C4701" w:rsidRPr="007C4701" w:rsidRDefault="007C4701" w:rsidP="007C47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en-GB"/>
              </w:rPr>
            </w:pPr>
            <w:r w:rsidRPr="007C4701">
              <w:rPr>
                <w:rFonts w:ascii="Calibri" w:eastAsia="Times New Roman" w:hAnsi="Calibri" w:cs="Calibri"/>
                <w:b/>
                <w:color w:val="FFFFFF"/>
                <w:lang w:eastAsia="en-GB"/>
              </w:rPr>
              <w:t>Cost</w:t>
            </w:r>
          </w:p>
        </w:tc>
      </w:tr>
      <w:tr w:rsidR="007C4701" w:rsidRPr="00D35888" w14:paraId="6AB1B571" w14:textId="77777777" w:rsidTr="0028105C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F728" w14:textId="77777777" w:rsidR="007C4701" w:rsidRPr="00D35888" w:rsidRDefault="007C4701" w:rsidP="007C4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9339" w14:textId="77777777" w:rsidR="007C4701" w:rsidRPr="00D35888" w:rsidRDefault="007C4701" w:rsidP="007C4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8105C" w:rsidRPr="00D35888" w14:paraId="5A1F2984" w14:textId="77777777" w:rsidTr="0028105C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91AF" w14:textId="77777777" w:rsidR="0028105C" w:rsidRPr="0028105C" w:rsidRDefault="0028105C" w:rsidP="007778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2810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Scenario </w:t>
            </w:r>
            <w:r w:rsidR="0077784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B40C" w14:textId="77777777" w:rsidR="0028105C" w:rsidRPr="00D35888" w:rsidRDefault="0028105C" w:rsidP="007C4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8105C" w:rsidRPr="00D35888" w14:paraId="11C6ED7C" w14:textId="77777777" w:rsidTr="0028105C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8A223" w14:textId="77777777" w:rsidR="0028105C" w:rsidRDefault="0028105C" w:rsidP="00D64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You have elected to establish a SIPP with G</w:t>
            </w:r>
            <w:r w:rsidR="00BB7B70">
              <w:rPr>
                <w:rFonts w:ascii="Calibri" w:eastAsia="Times New Roman" w:hAnsi="Calibri" w:cs="Calibri"/>
                <w:color w:val="000000"/>
                <w:lang w:eastAsia="en-GB"/>
              </w:rPr>
              <w:t>PC SIPP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transfer funds from your existing pension providers. You wish to purchase a commercial property using our preferred solicitor. The property is registered for VAT.</w:t>
            </w:r>
          </w:p>
          <w:p w14:paraId="2CC11C37" w14:textId="77777777" w:rsidR="000018C2" w:rsidRDefault="000018C2" w:rsidP="00D64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7643B6E" w14:textId="77777777" w:rsidR="0028105C" w:rsidRDefault="0028105C" w:rsidP="00D64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note that solicitors costs would be payable in addition to these fees.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AF72" w14:textId="77777777" w:rsidR="0028105C" w:rsidRDefault="0028105C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SIPP Establishment</w:t>
            </w:r>
          </w:p>
          <w:p w14:paraId="1E7F8301" w14:textId="77777777" w:rsidR="0028105C" w:rsidRDefault="0028105C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Transfer in charge</w:t>
            </w:r>
          </w:p>
          <w:p w14:paraId="1CD187FF" w14:textId="77777777" w:rsidR="0028105C" w:rsidRDefault="0028105C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Annual administration fee</w:t>
            </w:r>
          </w:p>
          <w:p w14:paraId="2D5AF1D1" w14:textId="77777777" w:rsidR="0028105C" w:rsidRDefault="0028105C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Property Purchase</w:t>
            </w:r>
          </w:p>
          <w:p w14:paraId="14FBB0E6" w14:textId="77777777" w:rsidR="0028105C" w:rsidRDefault="000018C2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VAT Registration</w:t>
            </w:r>
          </w:p>
          <w:p w14:paraId="16BE3675" w14:textId="77777777" w:rsidR="000018C2" w:rsidRDefault="000018C2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Completion of VAT returns (Per annum)</w:t>
            </w:r>
          </w:p>
          <w:p w14:paraId="1A3BE43F" w14:textId="77777777" w:rsidR="0028105C" w:rsidRDefault="0028105C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6B01224" w14:textId="77777777" w:rsidR="0028105C" w:rsidRPr="00E334B3" w:rsidRDefault="0028105C" w:rsidP="002810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334B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Total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ACF8" w14:textId="77777777" w:rsidR="0028105C" w:rsidRDefault="0028105C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£495</w:t>
            </w:r>
          </w:p>
          <w:p w14:paraId="4D5C8148" w14:textId="77777777" w:rsidR="0028105C" w:rsidRDefault="0028105C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Nil</w:t>
            </w:r>
          </w:p>
          <w:p w14:paraId="70D8832A" w14:textId="77777777" w:rsidR="0028105C" w:rsidRDefault="001C5522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£53</w:t>
            </w:r>
            <w:r w:rsidR="0028105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  <w:p w14:paraId="3D2CE48F" w14:textId="77777777" w:rsidR="0028105C" w:rsidRDefault="0028105C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033262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  <w:p w14:paraId="7E4916FD" w14:textId="77777777" w:rsidR="0028105C" w:rsidRDefault="0028105C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0018C2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  <w:r w:rsidR="00033262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  <w:p w14:paraId="5503EE55" w14:textId="77777777" w:rsidR="000018C2" w:rsidRDefault="000018C2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£105</w:t>
            </w:r>
          </w:p>
          <w:p w14:paraId="12DB07A0" w14:textId="77777777" w:rsidR="0028105C" w:rsidRDefault="0028105C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7C0494F" w14:textId="77777777" w:rsidR="0028105C" w:rsidRDefault="0028105C" w:rsidP="00281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6C940C8" w14:textId="77777777" w:rsidR="000018C2" w:rsidRPr="00E334B3" w:rsidRDefault="000018C2" w:rsidP="000332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334B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£1,</w:t>
            </w:r>
            <w:r w:rsidR="001C552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79</w:t>
            </w:r>
            <w:r w:rsidR="0003326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</w:t>
            </w:r>
          </w:p>
        </w:tc>
      </w:tr>
      <w:tr w:rsidR="0028105C" w:rsidRPr="00D35888" w14:paraId="0AEE0BEB" w14:textId="77777777" w:rsidTr="0028105C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63B3" w14:textId="77777777" w:rsidR="0028105C" w:rsidRPr="000018C2" w:rsidRDefault="000018C2" w:rsidP="007778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018C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Scenario </w:t>
            </w:r>
            <w:r w:rsidR="0077784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7F9A" w14:textId="77777777" w:rsidR="0028105C" w:rsidRPr="00D35888" w:rsidRDefault="0028105C" w:rsidP="007C4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018C2" w:rsidRPr="00D35888" w14:paraId="64D3EA41" w14:textId="77777777" w:rsidTr="000018C2">
        <w:trPr>
          <w:trHeight w:val="30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E918" w14:textId="77777777" w:rsidR="000018C2" w:rsidRDefault="000018C2" w:rsidP="00D64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You have elected to establish a SIPP with G</w:t>
            </w:r>
            <w:r w:rsidR="00BB7B70">
              <w:rPr>
                <w:rFonts w:ascii="Calibri" w:eastAsia="Times New Roman" w:hAnsi="Calibri" w:cs="Calibri"/>
                <w:color w:val="000000"/>
                <w:lang w:eastAsia="en-GB"/>
              </w:rPr>
              <w:t>PC SIPP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transfer your cash assets from your existing pension arrangement. The assets include a commercial property, a share portfolio and a </w:t>
            </w:r>
            <w:r w:rsidR="000A4A97">
              <w:rPr>
                <w:rFonts w:ascii="Calibri" w:eastAsia="Times New Roman" w:hAnsi="Calibri" w:cs="Calibri"/>
                <w:color w:val="000000"/>
                <w:lang w:eastAsia="en-GB"/>
              </w:rPr>
              <w:t>Bond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which are to be transferred in specie. Your company will move into the commercial property immediately following the transfer and therefore a new lease is required.</w:t>
            </w:r>
          </w:p>
          <w:p w14:paraId="203A3CCD" w14:textId="77777777" w:rsidR="000018C2" w:rsidRDefault="000018C2" w:rsidP="00D64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3B3A58" w14:textId="77777777" w:rsidR="000018C2" w:rsidRDefault="000018C2" w:rsidP="00D64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Please note that solicitors costs would be payable in addition to these fees.</w:t>
            </w:r>
          </w:p>
          <w:p w14:paraId="7C3A32CF" w14:textId="77777777" w:rsidR="000018C2" w:rsidRPr="00D35888" w:rsidRDefault="000018C2" w:rsidP="00D648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C1E51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SIPP Establishment</w:t>
            </w:r>
          </w:p>
          <w:p w14:paraId="4EE3F1A7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Transfer in charge</w:t>
            </w:r>
          </w:p>
          <w:p w14:paraId="19BA608C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Annual administration fee</w:t>
            </w:r>
          </w:p>
          <w:p w14:paraId="1E169C46" w14:textId="77777777" w:rsidR="00135703" w:rsidRDefault="00135703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475F2DC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 specie property transfer</w:t>
            </w:r>
          </w:p>
          <w:p w14:paraId="1BF2BC10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 specie Investment transfer</w:t>
            </w:r>
          </w:p>
          <w:p w14:paraId="4A2578FE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Additional in specie investment transfer</w:t>
            </w:r>
          </w:p>
          <w:p w14:paraId="1A9F978B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New Lease</w:t>
            </w:r>
          </w:p>
          <w:p w14:paraId="77857F37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76E6B5F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21A083C" w14:textId="77777777" w:rsidR="000018C2" w:rsidRPr="00E334B3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334B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Total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AEC6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£495</w:t>
            </w:r>
          </w:p>
          <w:p w14:paraId="43CFDEFC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Nil</w:t>
            </w:r>
          </w:p>
          <w:p w14:paraId="18AA4988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</w:t>
            </w:r>
            <w:r w:rsidR="001C5522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  <w:p w14:paraId="57D3B408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FAE77A3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£525</w:t>
            </w:r>
          </w:p>
          <w:p w14:paraId="1330952A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£250</w:t>
            </w:r>
          </w:p>
          <w:p w14:paraId="49D723EE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£50</w:t>
            </w:r>
          </w:p>
          <w:p w14:paraId="5D8A39BA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AD56D5D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03326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  <w:p w14:paraId="08D145A1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F68F7D8" w14:textId="77777777" w:rsidR="000018C2" w:rsidRDefault="000018C2" w:rsidP="00001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8F908D0" w14:textId="77777777" w:rsidR="000018C2" w:rsidRPr="00E334B3" w:rsidRDefault="000018C2" w:rsidP="000332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334B3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£2,0</w:t>
            </w:r>
            <w:r w:rsidR="001C552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5</w:t>
            </w:r>
            <w:r w:rsidR="0003326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</w:tr>
    </w:tbl>
    <w:p w14:paraId="30CE9F86" w14:textId="77777777" w:rsidR="007C4701" w:rsidRDefault="000018C2" w:rsidP="009669E5">
      <w:pPr>
        <w:outlineLvl w:val="0"/>
        <w:rPr>
          <w:b/>
          <w:color w:val="FFFFFF" w:themeColor="background1"/>
          <w:highlight w:val="black"/>
        </w:rPr>
      </w:pPr>
      <w:r>
        <w:rPr>
          <w:b/>
          <w:color w:val="FFFFFF" w:themeColor="background1"/>
          <w:highlight w:val="black"/>
        </w:rPr>
        <w:t>All fees are subject to VAT at the standard rate</w:t>
      </w:r>
    </w:p>
    <w:p w14:paraId="01CA9E57" w14:textId="77777777" w:rsidR="00E334B3" w:rsidRDefault="00E334B3" w:rsidP="009669E5">
      <w:pPr>
        <w:outlineLvl w:val="0"/>
        <w:rPr>
          <w:b/>
          <w:color w:val="FFFFFF" w:themeColor="background1"/>
          <w:highlight w:val="black"/>
        </w:rPr>
      </w:pPr>
    </w:p>
    <w:p w14:paraId="55292E18" w14:textId="77777777" w:rsidR="006D3321" w:rsidRDefault="006D3321" w:rsidP="009669E5">
      <w:pPr>
        <w:outlineLvl w:val="0"/>
        <w:rPr>
          <w:b/>
          <w:color w:val="FFFFFF" w:themeColor="background1"/>
          <w:highlight w:val="black"/>
        </w:rPr>
      </w:pPr>
    </w:p>
    <w:p w14:paraId="27DA3B4B" w14:textId="77777777" w:rsidR="006D3321" w:rsidRDefault="006D3321" w:rsidP="009669E5">
      <w:pPr>
        <w:outlineLvl w:val="0"/>
        <w:rPr>
          <w:b/>
          <w:color w:val="FFFFFF" w:themeColor="background1"/>
          <w:highlight w:val="black"/>
        </w:rPr>
      </w:pPr>
    </w:p>
    <w:p w14:paraId="7A217E4A" w14:textId="77777777" w:rsidR="006D3321" w:rsidRDefault="006D3321" w:rsidP="009669E5">
      <w:pPr>
        <w:outlineLvl w:val="0"/>
        <w:rPr>
          <w:b/>
          <w:color w:val="FFFFFF" w:themeColor="background1"/>
          <w:highlight w:val="black"/>
        </w:rPr>
      </w:pPr>
    </w:p>
    <w:p w14:paraId="71F6D91C" w14:textId="77777777" w:rsidR="006D3321" w:rsidRDefault="006D3321" w:rsidP="009669E5">
      <w:pPr>
        <w:outlineLvl w:val="0"/>
        <w:rPr>
          <w:b/>
          <w:color w:val="FFFFFF" w:themeColor="background1"/>
          <w:highlight w:val="black"/>
        </w:rPr>
      </w:pPr>
    </w:p>
    <w:p w14:paraId="25F40DAC" w14:textId="77777777" w:rsidR="006D3321" w:rsidRDefault="006D3321" w:rsidP="009669E5">
      <w:pPr>
        <w:outlineLvl w:val="0"/>
        <w:rPr>
          <w:b/>
          <w:color w:val="FFFFFF" w:themeColor="background1"/>
          <w:highlight w:val="black"/>
        </w:rPr>
      </w:pPr>
    </w:p>
    <w:p w14:paraId="1EBD34C3" w14:textId="77777777" w:rsidR="006D3321" w:rsidRDefault="006D3321" w:rsidP="009669E5">
      <w:pPr>
        <w:outlineLvl w:val="0"/>
        <w:rPr>
          <w:b/>
          <w:color w:val="FFFFFF" w:themeColor="background1"/>
          <w:highlight w:val="black"/>
        </w:rPr>
      </w:pPr>
    </w:p>
    <w:p w14:paraId="5B9DD5EF" w14:textId="77777777" w:rsidR="006D3321" w:rsidRDefault="008826C2" w:rsidP="009669E5">
      <w:pPr>
        <w:outlineLvl w:val="0"/>
        <w:rPr>
          <w:b/>
          <w:color w:val="FFFFFF" w:themeColor="background1"/>
          <w:highlight w:val="black"/>
        </w:rPr>
      </w:pPr>
      <w:r w:rsidRPr="009F7595">
        <w:rPr>
          <w:rFonts w:eastAsiaTheme="minorEastAsia"/>
          <w:noProof/>
          <w:sz w:val="14"/>
          <w:szCs w:val="14"/>
          <w:lang w:eastAsia="en-GB"/>
        </w:rPr>
        <w:lastRenderedPageBreak/>
        <w:drawing>
          <wp:inline distT="0" distB="0" distL="0" distR="0" wp14:anchorId="38739CC6" wp14:editId="4652178B">
            <wp:extent cx="5731510" cy="1214120"/>
            <wp:effectExtent l="0" t="0" r="0" b="0"/>
            <wp:docPr id="2" name="Picture 1" descr="cid:image005.jpg@01CBE4B7.9AFEA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CBE4B7.9AFEA9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51B66" w14:textId="77777777" w:rsidR="006B2502" w:rsidRDefault="006D3321" w:rsidP="009669E5">
      <w:pPr>
        <w:outlineLvl w:val="0"/>
        <w:rPr>
          <w:b/>
          <w:color w:val="FFFFFF" w:themeColor="background1"/>
        </w:rPr>
      </w:pPr>
      <w:r>
        <w:rPr>
          <w:b/>
          <w:color w:val="FFFFFF" w:themeColor="background1"/>
          <w:highlight w:val="black"/>
        </w:rPr>
        <w:t>Fr</w:t>
      </w:r>
      <w:r w:rsidR="00E06689" w:rsidRPr="00AB5835">
        <w:rPr>
          <w:b/>
          <w:color w:val="FFFFFF" w:themeColor="background1"/>
          <w:highlight w:val="black"/>
        </w:rPr>
        <w:t>equently asked questions about charges</w:t>
      </w:r>
      <w:r w:rsidR="00E06689" w:rsidRPr="00AB5835">
        <w:rPr>
          <w:b/>
          <w:color w:val="FFFFFF" w:themeColor="background1"/>
        </w:rPr>
        <w:t xml:space="preserve"> </w:t>
      </w:r>
    </w:p>
    <w:p w14:paraId="1798EF46" w14:textId="77777777" w:rsidR="006B2502" w:rsidRDefault="006B2502" w:rsidP="009669E5">
      <w:pPr>
        <w:spacing w:line="240" w:lineRule="auto"/>
        <w:outlineLvl w:val="0"/>
        <w:rPr>
          <w:b/>
          <w:color w:val="FFFFFF" w:themeColor="background1"/>
        </w:rPr>
      </w:pPr>
      <w:r>
        <w:rPr>
          <w:b/>
          <w:color w:val="7030A0"/>
        </w:rPr>
        <w:t>What does the annual fee cover?</w:t>
      </w:r>
      <w:r>
        <w:rPr>
          <w:b/>
          <w:color w:val="FFFFFF" w:themeColor="background1"/>
        </w:rPr>
        <w:t xml:space="preserve"> What</w:t>
      </w:r>
    </w:p>
    <w:p w14:paraId="61201463" w14:textId="77777777" w:rsidR="00D22797" w:rsidRPr="006B2502" w:rsidRDefault="00D22797" w:rsidP="006B2502">
      <w:pPr>
        <w:spacing w:line="240" w:lineRule="auto"/>
        <w:rPr>
          <w:b/>
          <w:color w:val="FFFFFF" w:themeColor="background1"/>
        </w:rPr>
      </w:pPr>
      <w:r>
        <w:rPr>
          <w:rFonts w:ascii="Calibri" w:hAnsi="Calibri"/>
        </w:rPr>
        <w:t>G</w:t>
      </w:r>
      <w:r w:rsidR="00BB7B70">
        <w:rPr>
          <w:rFonts w:ascii="Calibri" w:hAnsi="Calibri"/>
        </w:rPr>
        <w:t xml:space="preserve">PC SIPP </w:t>
      </w:r>
      <w:r>
        <w:rPr>
          <w:rFonts w:ascii="Calibri" w:hAnsi="Calibri"/>
        </w:rPr>
        <w:t>will provide the following services within the scope of the annual fee:</w:t>
      </w:r>
    </w:p>
    <w:p w14:paraId="26BB1081" w14:textId="77777777" w:rsidR="000018C2" w:rsidRDefault="00BB75F9" w:rsidP="006B250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Preparation  of an annual review and Statutory Money Purchase Illustration (SMPI).</w:t>
      </w:r>
    </w:p>
    <w:p w14:paraId="7174E5F9" w14:textId="77777777" w:rsidR="00D22797" w:rsidRPr="00A65A3E" w:rsidRDefault="00D22797" w:rsidP="006B250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>Ensuring</w:t>
      </w:r>
      <w:r w:rsidR="00BB75F9">
        <w:rPr>
          <w:rFonts w:ascii="Calibri" w:hAnsi="Calibri"/>
        </w:rPr>
        <w:t xml:space="preserve"> </w:t>
      </w:r>
      <w:r w:rsidRPr="00A65A3E">
        <w:rPr>
          <w:rFonts w:ascii="Calibri" w:hAnsi="Calibri"/>
        </w:rPr>
        <w:t>that the scheme is run in</w:t>
      </w:r>
      <w:r>
        <w:rPr>
          <w:rFonts w:ascii="Calibri" w:hAnsi="Calibri"/>
        </w:rPr>
        <w:t xml:space="preserve"> accordance </w:t>
      </w:r>
      <w:r w:rsidRPr="00A65A3E">
        <w:rPr>
          <w:rFonts w:ascii="Calibri" w:hAnsi="Calibri"/>
        </w:rPr>
        <w:t>with</w:t>
      </w:r>
      <w:r>
        <w:rPr>
          <w:rFonts w:ascii="Calibri" w:hAnsi="Calibri"/>
        </w:rPr>
        <w:t xml:space="preserve"> </w:t>
      </w:r>
      <w:r w:rsidRPr="00A65A3E">
        <w:rPr>
          <w:rFonts w:ascii="Calibri" w:hAnsi="Calibri"/>
        </w:rPr>
        <w:t>HMRC guid</w:t>
      </w:r>
      <w:r>
        <w:rPr>
          <w:rFonts w:ascii="Calibri" w:hAnsi="Calibri"/>
        </w:rPr>
        <w:t>ance and in such a way as to not</w:t>
      </w:r>
      <w:r w:rsidRPr="00A65A3E">
        <w:rPr>
          <w:rFonts w:ascii="Calibri" w:hAnsi="Calibri"/>
        </w:rPr>
        <w:t xml:space="preserve"> jeopardise its</w:t>
      </w:r>
      <w:r>
        <w:rPr>
          <w:rFonts w:ascii="Calibri" w:hAnsi="Calibri"/>
        </w:rPr>
        <w:t xml:space="preserve"> registered status.</w:t>
      </w:r>
    </w:p>
    <w:p w14:paraId="2CA77BBE" w14:textId="77777777" w:rsidR="00D22797" w:rsidRPr="00A65A3E" w:rsidRDefault="00D22797" w:rsidP="006B250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>Acting as an intermediary between the</w:t>
      </w:r>
      <w:r>
        <w:rPr>
          <w:rFonts w:ascii="Calibri" w:hAnsi="Calibri"/>
        </w:rPr>
        <w:t xml:space="preserve"> member</w:t>
      </w:r>
      <w:r w:rsidRPr="00A65A3E">
        <w:rPr>
          <w:rFonts w:ascii="Calibri" w:hAnsi="Calibri"/>
        </w:rPr>
        <w:t xml:space="preserve"> trustees</w:t>
      </w:r>
      <w:r>
        <w:rPr>
          <w:rFonts w:ascii="Calibri" w:hAnsi="Calibri"/>
        </w:rPr>
        <w:t xml:space="preserve">, </w:t>
      </w:r>
      <w:r w:rsidRPr="00A65A3E">
        <w:rPr>
          <w:rFonts w:ascii="Calibri" w:hAnsi="Calibri"/>
        </w:rPr>
        <w:t xml:space="preserve">HMRC and other regulatory bodies. </w:t>
      </w:r>
    </w:p>
    <w:p w14:paraId="3042EC49" w14:textId="77777777" w:rsidR="00D22797" w:rsidRPr="00A65A3E" w:rsidRDefault="00D22797" w:rsidP="006B250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Renewing the annual scheme </w:t>
      </w:r>
      <w:r w:rsidRPr="00A65A3E">
        <w:rPr>
          <w:rFonts w:ascii="Calibri" w:hAnsi="Calibri"/>
        </w:rPr>
        <w:t>registr</w:t>
      </w:r>
      <w:r>
        <w:rPr>
          <w:rFonts w:ascii="Calibri" w:hAnsi="Calibri"/>
        </w:rPr>
        <w:t xml:space="preserve">ation </w:t>
      </w:r>
      <w:r w:rsidRPr="00A65A3E">
        <w:rPr>
          <w:rFonts w:ascii="Calibri" w:hAnsi="Calibri"/>
        </w:rPr>
        <w:t xml:space="preserve">with </w:t>
      </w:r>
      <w:r>
        <w:rPr>
          <w:rFonts w:ascii="Calibri" w:hAnsi="Calibri"/>
        </w:rPr>
        <w:t>T</w:t>
      </w:r>
      <w:r w:rsidRPr="00A65A3E">
        <w:rPr>
          <w:rFonts w:ascii="Calibri" w:hAnsi="Calibri"/>
        </w:rPr>
        <w:t>he Pensions Regulator, paying the annual levy and</w:t>
      </w:r>
      <w:r>
        <w:rPr>
          <w:rFonts w:ascii="Calibri" w:hAnsi="Calibri"/>
        </w:rPr>
        <w:t xml:space="preserve"> notifying </w:t>
      </w:r>
      <w:r w:rsidRPr="00A65A3E">
        <w:rPr>
          <w:rFonts w:ascii="Calibri" w:hAnsi="Calibri"/>
        </w:rPr>
        <w:t>any</w:t>
      </w:r>
      <w:r>
        <w:rPr>
          <w:rFonts w:ascii="Calibri" w:hAnsi="Calibri"/>
        </w:rPr>
        <w:t xml:space="preserve"> reportable</w:t>
      </w:r>
      <w:r w:rsidRPr="00A65A3E">
        <w:rPr>
          <w:rFonts w:ascii="Calibri" w:hAnsi="Calibri"/>
        </w:rPr>
        <w:t xml:space="preserve"> changes</w:t>
      </w:r>
      <w:r>
        <w:rPr>
          <w:rFonts w:ascii="Calibri" w:hAnsi="Calibri"/>
        </w:rPr>
        <w:t>.</w:t>
      </w:r>
      <w:r w:rsidRPr="00A65A3E">
        <w:rPr>
          <w:rFonts w:ascii="Calibri" w:hAnsi="Calibri"/>
        </w:rPr>
        <w:t xml:space="preserve">  </w:t>
      </w:r>
    </w:p>
    <w:p w14:paraId="126F7235" w14:textId="77777777" w:rsidR="00D22797" w:rsidRPr="00A65A3E" w:rsidRDefault="00D22797" w:rsidP="006B250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Renewing the annual scheme registration with the </w:t>
      </w:r>
      <w:r w:rsidRPr="00A65A3E">
        <w:rPr>
          <w:rFonts w:ascii="Calibri" w:hAnsi="Calibri"/>
        </w:rPr>
        <w:t>Information Commissioner</w:t>
      </w:r>
      <w:r>
        <w:rPr>
          <w:rFonts w:ascii="Calibri" w:hAnsi="Calibri"/>
        </w:rPr>
        <w:t xml:space="preserve"> in respect of data protection legislation.</w:t>
      </w:r>
    </w:p>
    <w:p w14:paraId="587D0BE2" w14:textId="77777777" w:rsidR="00D22797" w:rsidRPr="00A65A3E" w:rsidRDefault="00D22797" w:rsidP="006B250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 xml:space="preserve">Communicate with the schemes financial advisers, accountant, investment managers and solicitor. </w:t>
      </w:r>
    </w:p>
    <w:p w14:paraId="503DB285" w14:textId="77777777" w:rsidR="00D22797" w:rsidRPr="00A65A3E" w:rsidRDefault="00D22797" w:rsidP="006B250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>Day to day</w:t>
      </w:r>
      <w:r>
        <w:rPr>
          <w:rFonts w:ascii="Calibri" w:hAnsi="Calibri"/>
        </w:rPr>
        <w:t xml:space="preserve"> scheme</w:t>
      </w:r>
      <w:r w:rsidRPr="00A65A3E">
        <w:rPr>
          <w:rFonts w:ascii="Calibri" w:hAnsi="Calibri"/>
        </w:rPr>
        <w:t xml:space="preserve"> administration. </w:t>
      </w:r>
    </w:p>
    <w:p w14:paraId="69F674DA" w14:textId="77777777" w:rsidR="00D22797" w:rsidRPr="00A65A3E" w:rsidRDefault="00D22797" w:rsidP="006B250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>Maintain records of all correspondence and</w:t>
      </w:r>
      <w:r>
        <w:rPr>
          <w:rFonts w:ascii="Calibri" w:hAnsi="Calibri"/>
        </w:rPr>
        <w:t xml:space="preserve"> documentation.</w:t>
      </w:r>
    </w:p>
    <w:p w14:paraId="2EEDB58C" w14:textId="77777777" w:rsidR="00D22797" w:rsidRPr="00A65A3E" w:rsidRDefault="00D22797" w:rsidP="006B250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 xml:space="preserve">General technical advice and administration queries.      </w:t>
      </w:r>
    </w:p>
    <w:p w14:paraId="705A9A57" w14:textId="77777777" w:rsidR="00D22797" w:rsidRPr="00A65A3E" w:rsidRDefault="00D22797" w:rsidP="006B250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>Signatory on all scheme bank transactions and registered co-owner on all scheme investments.</w:t>
      </w:r>
    </w:p>
    <w:p w14:paraId="5EDFFDAE" w14:textId="77777777" w:rsidR="00D22797" w:rsidRDefault="00D22797" w:rsidP="006B250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A65A3E">
        <w:rPr>
          <w:rFonts w:ascii="Calibri" w:hAnsi="Calibri"/>
        </w:rPr>
        <w:t>Investigating and actioning any changes in legislation which</w:t>
      </w:r>
      <w:r>
        <w:rPr>
          <w:rFonts w:ascii="Calibri" w:hAnsi="Calibri"/>
        </w:rPr>
        <w:t xml:space="preserve"> may</w:t>
      </w:r>
      <w:r w:rsidRPr="00A65A3E">
        <w:rPr>
          <w:rFonts w:ascii="Calibri" w:hAnsi="Calibri"/>
        </w:rPr>
        <w:t xml:space="preserve"> affect the scheme.</w:t>
      </w:r>
    </w:p>
    <w:p w14:paraId="5213E2A3" w14:textId="77777777" w:rsidR="00D22797" w:rsidRPr="004D0442" w:rsidRDefault="00D22797" w:rsidP="006B2502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4D0442">
        <w:rPr>
          <w:rFonts w:ascii="Calibri" w:hAnsi="Calibri"/>
        </w:rPr>
        <w:t>Submission of the annual pension scheme returns to HMRC and The Pensions Regulator.</w:t>
      </w:r>
    </w:p>
    <w:p w14:paraId="5FEA6CAB" w14:textId="77777777" w:rsidR="0006755F" w:rsidRDefault="0006755F" w:rsidP="0006755F">
      <w:pPr>
        <w:spacing w:after="0" w:line="240" w:lineRule="auto"/>
        <w:jc w:val="both"/>
        <w:rPr>
          <w:rFonts w:ascii="Calibri" w:hAnsi="Calibri"/>
        </w:rPr>
      </w:pPr>
    </w:p>
    <w:p w14:paraId="3F57B3B6" w14:textId="77777777" w:rsidR="00BB75F9" w:rsidRDefault="00BB75F9" w:rsidP="0006755F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No fees will be refunded in part or full when a transfer out is requested. </w:t>
      </w:r>
    </w:p>
    <w:p w14:paraId="229633EC" w14:textId="77777777" w:rsidR="006B2502" w:rsidRDefault="006B2502" w:rsidP="006B2502">
      <w:pPr>
        <w:spacing w:after="0" w:line="240" w:lineRule="auto"/>
        <w:jc w:val="both"/>
        <w:rPr>
          <w:rFonts w:ascii="Calibri" w:hAnsi="Calibri"/>
        </w:rPr>
      </w:pPr>
    </w:p>
    <w:p w14:paraId="7752A04D" w14:textId="77777777" w:rsidR="006B2502" w:rsidRPr="006B2502" w:rsidRDefault="006B2502" w:rsidP="009669E5">
      <w:pPr>
        <w:spacing w:after="0" w:line="240" w:lineRule="auto"/>
        <w:jc w:val="both"/>
        <w:outlineLvl w:val="0"/>
        <w:rPr>
          <w:rFonts w:ascii="Calibri" w:hAnsi="Calibri"/>
          <w:b/>
          <w:color w:val="7030A0"/>
        </w:rPr>
      </w:pPr>
      <w:r w:rsidRPr="006B2502">
        <w:rPr>
          <w:rFonts w:ascii="Calibri" w:hAnsi="Calibri"/>
          <w:b/>
          <w:color w:val="7030A0"/>
        </w:rPr>
        <w:t>What are the fees for transfers in or for contributions?</w:t>
      </w:r>
    </w:p>
    <w:p w14:paraId="37DC9353" w14:textId="77777777" w:rsidR="006B2502" w:rsidRPr="00A65A3E" w:rsidRDefault="006B2502" w:rsidP="006B2502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There are no fees for cash transfers in or contributions.  </w:t>
      </w:r>
    </w:p>
    <w:p w14:paraId="240C999E" w14:textId="77777777" w:rsidR="006B2502" w:rsidRPr="006B2502" w:rsidRDefault="006B2502" w:rsidP="006B2502">
      <w:pPr>
        <w:spacing w:after="0"/>
        <w:rPr>
          <w:color w:val="7030A0"/>
          <w:sz w:val="18"/>
          <w:szCs w:val="18"/>
        </w:rPr>
      </w:pPr>
    </w:p>
    <w:p w14:paraId="126DFA4C" w14:textId="77777777" w:rsidR="00675B31" w:rsidRDefault="00BB75F9" w:rsidP="00310EAC">
      <w:pPr>
        <w:spacing w:after="0"/>
        <w:rPr>
          <w:color w:val="000000" w:themeColor="text1"/>
        </w:rPr>
      </w:pPr>
      <w:r>
        <w:rPr>
          <w:rFonts w:ascii="Calibri" w:hAnsi="Calibri"/>
          <w:b/>
          <w:color w:val="7030A0"/>
        </w:rPr>
        <w:t>Will the fees increase?</w:t>
      </w:r>
    </w:p>
    <w:p w14:paraId="2027FC6B" w14:textId="77777777" w:rsidR="003E0031" w:rsidRPr="00E334B3" w:rsidRDefault="00BB75F9" w:rsidP="00310EAC">
      <w:pPr>
        <w:spacing w:after="0"/>
        <w:rPr>
          <w:color w:val="000000" w:themeColor="text1"/>
        </w:rPr>
      </w:pPr>
      <w:r w:rsidRPr="00BB75F9">
        <w:rPr>
          <w:color w:val="000000" w:themeColor="text1"/>
        </w:rPr>
        <w:t xml:space="preserve">Yes. </w:t>
      </w:r>
      <w:r w:rsidR="00E334B3">
        <w:rPr>
          <w:color w:val="000000" w:themeColor="text1"/>
        </w:rPr>
        <w:t xml:space="preserve">Fees </w:t>
      </w:r>
      <w:r w:rsidR="00E334B3" w:rsidRPr="00E334B3">
        <w:rPr>
          <w:color w:val="000000" w:themeColor="text1"/>
        </w:rPr>
        <w:t xml:space="preserve">will be increased on the Scheme Anniversary, </w:t>
      </w:r>
      <w:r w:rsidR="00E334B3" w:rsidRPr="00E334B3">
        <w:t xml:space="preserve">by the September increase in the Average Weekly Earnings Index, </w:t>
      </w:r>
      <w:r w:rsidR="001C5522">
        <w:t>rounded to the nearest £1</w:t>
      </w:r>
      <w:r w:rsidR="00E334B3" w:rsidRPr="00E334B3">
        <w:t>.00.</w:t>
      </w:r>
    </w:p>
    <w:p w14:paraId="390B614C" w14:textId="77777777" w:rsidR="003E0031" w:rsidRDefault="003E0031" w:rsidP="00310EAC">
      <w:pPr>
        <w:spacing w:after="0"/>
        <w:rPr>
          <w:color w:val="000000" w:themeColor="text1"/>
        </w:rPr>
      </w:pPr>
    </w:p>
    <w:p w14:paraId="04A084F1" w14:textId="77777777" w:rsidR="00BB75F9" w:rsidRDefault="00BB75F9" w:rsidP="00310EAC">
      <w:pPr>
        <w:spacing w:after="0"/>
        <w:rPr>
          <w:rFonts w:ascii="Calibri" w:hAnsi="Calibri"/>
          <w:b/>
          <w:color w:val="7030A0"/>
        </w:rPr>
      </w:pPr>
      <w:r>
        <w:rPr>
          <w:rFonts w:ascii="Calibri" w:hAnsi="Calibri"/>
          <w:b/>
          <w:color w:val="7030A0"/>
        </w:rPr>
        <w:t>Are there any other charges?</w:t>
      </w:r>
    </w:p>
    <w:p w14:paraId="1D18CD59" w14:textId="77777777" w:rsidR="00BB75F9" w:rsidRPr="00BB75F9" w:rsidRDefault="00BB75F9" w:rsidP="00310EAC">
      <w:pPr>
        <w:spacing w:after="0"/>
      </w:pPr>
      <w:r>
        <w:t>We reserve the right to charge fees for any additional services on a time/cost basis. This may include, but is not restricted to, any changes in legislation.</w:t>
      </w:r>
    </w:p>
    <w:p w14:paraId="5B8A80DC" w14:textId="77777777" w:rsidR="00675B31" w:rsidRDefault="00675B31" w:rsidP="00310EAC">
      <w:pPr>
        <w:spacing w:after="0"/>
        <w:rPr>
          <w:color w:val="000000" w:themeColor="text1"/>
        </w:rPr>
      </w:pPr>
    </w:p>
    <w:p w14:paraId="6B7E543B" w14:textId="77777777" w:rsidR="003E0031" w:rsidRPr="00D35888" w:rsidRDefault="003E0031" w:rsidP="00310EAC">
      <w:pPr>
        <w:spacing w:after="0"/>
        <w:rPr>
          <w:b/>
          <w:color w:val="7030A0"/>
          <w:sz w:val="24"/>
          <w:szCs w:val="24"/>
        </w:rPr>
      </w:pPr>
      <w:r>
        <w:rPr>
          <w:rFonts w:ascii="Verdana" w:eastAsiaTheme="minorEastAsia" w:hAnsi="Verdana"/>
          <w:noProof/>
          <w:color w:val="614487"/>
          <w:sz w:val="16"/>
          <w:szCs w:val="16"/>
          <w:lang w:eastAsia="en-GB"/>
        </w:rPr>
        <w:br/>
      </w:r>
      <w:r>
        <w:rPr>
          <w:rFonts w:ascii="Verdana" w:eastAsiaTheme="minorEastAsia" w:hAnsi="Verdana"/>
          <w:noProof/>
          <w:color w:val="CFD0D2"/>
          <w:sz w:val="12"/>
          <w:szCs w:val="12"/>
          <w:lang w:eastAsia="en-GB"/>
        </w:rPr>
        <w:t> </w:t>
      </w:r>
      <w:r>
        <w:rPr>
          <w:rFonts w:ascii="Verdana" w:eastAsiaTheme="minorEastAsia" w:hAnsi="Verdana"/>
          <w:noProof/>
          <w:color w:val="CFD0D2"/>
          <w:sz w:val="12"/>
          <w:szCs w:val="12"/>
          <w:lang w:eastAsia="en-GB"/>
        </w:rPr>
        <w:br/>
      </w:r>
      <w:r>
        <w:rPr>
          <w:rFonts w:eastAsiaTheme="minorEastAsia"/>
          <w:noProof/>
          <w:sz w:val="14"/>
          <w:szCs w:val="14"/>
          <w:lang w:eastAsia="en-GB"/>
        </w:rPr>
        <w:lastRenderedPageBreak/>
        <w:t>G</w:t>
      </w:r>
      <w:r w:rsidR="00BB7B70">
        <w:rPr>
          <w:rFonts w:eastAsiaTheme="minorEastAsia"/>
          <w:noProof/>
          <w:sz w:val="14"/>
          <w:szCs w:val="14"/>
          <w:lang w:eastAsia="en-GB"/>
        </w:rPr>
        <w:t>PC SIPP Ltd</w:t>
      </w:r>
      <w:r>
        <w:rPr>
          <w:rFonts w:eastAsiaTheme="minorEastAsia"/>
          <w:noProof/>
          <w:sz w:val="14"/>
          <w:szCs w:val="14"/>
          <w:lang w:eastAsia="en-GB"/>
        </w:rPr>
        <w:t xml:space="preserve"> </w:t>
      </w:r>
      <w:r w:rsidR="009F7595" w:rsidRPr="009F7595">
        <w:rPr>
          <w:rFonts w:eastAsiaTheme="minorEastAsia"/>
          <w:noProof/>
          <w:sz w:val="14"/>
          <w:szCs w:val="14"/>
          <w:lang w:eastAsia="en-GB"/>
        </w:rPr>
        <w:drawing>
          <wp:inline distT="0" distB="0" distL="0" distR="0" wp14:anchorId="565E1180" wp14:editId="71D24BD1">
            <wp:extent cx="5731510" cy="1214337"/>
            <wp:effectExtent l="19050" t="0" r="2540" b="0"/>
            <wp:docPr id="3" name="Picture 1" descr="cid:image005.jpg@01CBE4B7.9AFEA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CBE4B7.9AFEA9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031" w:rsidRPr="00D35888" w:rsidSect="00AE64B4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442E2" w14:textId="77777777" w:rsidR="00BB75F9" w:rsidRDefault="00BB75F9" w:rsidP="007C4701">
      <w:pPr>
        <w:spacing w:after="0" w:line="240" w:lineRule="auto"/>
      </w:pPr>
      <w:r>
        <w:separator/>
      </w:r>
    </w:p>
  </w:endnote>
  <w:endnote w:type="continuationSeparator" w:id="0">
    <w:p w14:paraId="304F914A" w14:textId="77777777" w:rsidR="00BB75F9" w:rsidRDefault="00BB75F9" w:rsidP="007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00A0" w14:textId="4D804E4F" w:rsidR="00AE64B4" w:rsidRPr="00AE64B4" w:rsidRDefault="00AE64B4" w:rsidP="00AE64B4">
    <w:pPr>
      <w:pStyle w:val="Footer"/>
      <w:jc w:val="both"/>
      <w:rPr>
        <w:lang w:val="en-GB"/>
      </w:rPr>
    </w:pPr>
    <w:r>
      <w:rPr>
        <w:lang w:val="en-GB"/>
      </w:rPr>
      <w:t>SIPP Fees 201</w:t>
    </w:r>
    <w:r w:rsidR="00852F67">
      <w:rPr>
        <w:lang w:val="en-GB"/>
      </w:rPr>
      <w:t>9</w:t>
    </w:r>
    <w:r>
      <w:rPr>
        <w:lang w:val="en-GB"/>
      </w:rPr>
      <w:t xml:space="preserve"> v</w:t>
    </w:r>
    <w:r w:rsidR="0098505A">
      <w:rPr>
        <w:lang w:val="en-GB"/>
      </w:rPr>
      <w:t xml:space="preserve"> </w:t>
    </w:r>
    <w:r>
      <w:rPr>
        <w:lang w:val="en-GB"/>
      </w:rPr>
      <w:t>1.</w:t>
    </w:r>
    <w:r w:rsidR="00852F67">
      <w:rPr>
        <w:lang w:val="en-GB"/>
      </w:rPr>
      <w:t>6</w:t>
    </w:r>
  </w:p>
  <w:p w14:paraId="120AD9F6" w14:textId="77777777" w:rsidR="00BB75F9" w:rsidRPr="00AE64B4" w:rsidRDefault="00BB75F9" w:rsidP="00AE6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6C0F" w14:textId="0E7E5473" w:rsidR="00AE64B4" w:rsidRDefault="00AE64B4" w:rsidP="00AE64B4">
    <w:pPr>
      <w:pStyle w:val="Footer"/>
      <w:jc w:val="both"/>
      <w:rPr>
        <w:sz w:val="12"/>
        <w:szCs w:val="12"/>
        <w:lang w:val="en-GB"/>
      </w:rPr>
    </w:pPr>
    <w:r w:rsidRPr="000A7C0F">
      <w:rPr>
        <w:sz w:val="12"/>
        <w:szCs w:val="12"/>
        <w:lang w:val="en-GB"/>
      </w:rPr>
      <w:t>The G</w:t>
    </w:r>
    <w:r w:rsidR="00697F93">
      <w:rPr>
        <w:sz w:val="12"/>
        <w:szCs w:val="12"/>
        <w:lang w:val="en-GB"/>
      </w:rPr>
      <w:t>PC</w:t>
    </w:r>
    <w:r w:rsidRPr="000A7C0F">
      <w:rPr>
        <w:sz w:val="12"/>
        <w:szCs w:val="12"/>
        <w:lang w:val="en-GB"/>
      </w:rPr>
      <w:t xml:space="preserve"> SIPP product is provided by G</w:t>
    </w:r>
    <w:r w:rsidR="00697F93">
      <w:rPr>
        <w:sz w:val="12"/>
        <w:szCs w:val="12"/>
        <w:lang w:val="en-GB"/>
      </w:rPr>
      <w:t>PC SIPP Ltd</w:t>
    </w:r>
    <w:r w:rsidRPr="000A7C0F">
      <w:rPr>
        <w:sz w:val="12"/>
        <w:szCs w:val="12"/>
        <w:lang w:val="en-GB"/>
      </w:rPr>
      <w:t>, which has appointed Guardian Pension Trustees Ltd as trustee.  Administration of the SIPP is carried out by G</w:t>
    </w:r>
    <w:r w:rsidR="00697F93">
      <w:rPr>
        <w:sz w:val="12"/>
        <w:szCs w:val="12"/>
        <w:lang w:val="en-GB"/>
      </w:rPr>
      <w:t>PC SIPP Ltd</w:t>
    </w:r>
    <w:r w:rsidRPr="000A7C0F">
      <w:rPr>
        <w:sz w:val="12"/>
        <w:szCs w:val="12"/>
        <w:lang w:val="en-GB"/>
      </w:rPr>
      <w:t xml:space="preserve"> who are regulated and authorised by the Financial </w:t>
    </w:r>
    <w:r w:rsidR="00B86ADA">
      <w:rPr>
        <w:sz w:val="12"/>
        <w:szCs w:val="12"/>
        <w:lang w:val="en-GB"/>
      </w:rPr>
      <w:t>Conduct</w:t>
    </w:r>
    <w:r w:rsidRPr="000A7C0F">
      <w:rPr>
        <w:sz w:val="12"/>
        <w:szCs w:val="12"/>
        <w:lang w:val="en-GB"/>
      </w:rPr>
      <w:t xml:space="preserve"> </w:t>
    </w:r>
    <w:r w:rsidR="00B86ADA">
      <w:rPr>
        <w:sz w:val="12"/>
        <w:szCs w:val="12"/>
        <w:lang w:val="en-GB"/>
      </w:rPr>
      <w:t>A</w:t>
    </w:r>
    <w:r w:rsidRPr="000A7C0F">
      <w:rPr>
        <w:sz w:val="12"/>
        <w:szCs w:val="12"/>
        <w:lang w:val="en-GB"/>
      </w:rPr>
      <w:t xml:space="preserve">uthority under Firm reference number 463717 and you can check this authorisation at </w:t>
    </w:r>
    <w:hyperlink r:id="rId1" w:history="1">
      <w:r w:rsidRPr="000A7C0F">
        <w:rPr>
          <w:rStyle w:val="Hyperlink"/>
          <w:sz w:val="12"/>
          <w:szCs w:val="12"/>
          <w:lang w:val="en-GB"/>
        </w:rPr>
        <w:t>www.fsa.gov.uk/register</w:t>
      </w:r>
    </w:hyperlink>
    <w:r w:rsidRPr="000A7C0F">
      <w:rPr>
        <w:sz w:val="12"/>
        <w:szCs w:val="12"/>
        <w:lang w:val="en-GB"/>
      </w:rPr>
      <w:t xml:space="preserve"> or by calling the FSA on 0845 606 1234</w:t>
    </w:r>
  </w:p>
  <w:p w14:paraId="766A67A5" w14:textId="77777777" w:rsidR="00AE64B4" w:rsidRDefault="00AE64B4" w:rsidP="00AE64B4">
    <w:pPr>
      <w:pStyle w:val="Footer"/>
      <w:jc w:val="both"/>
      <w:rPr>
        <w:sz w:val="12"/>
        <w:szCs w:val="12"/>
        <w:lang w:val="en-GB"/>
      </w:rPr>
    </w:pPr>
  </w:p>
  <w:p w14:paraId="6B1709DE" w14:textId="77777777" w:rsidR="00AE64B4" w:rsidRDefault="00AE64B4" w:rsidP="00AE64B4">
    <w:pPr>
      <w:pStyle w:val="Footer"/>
      <w:jc w:val="both"/>
      <w:rPr>
        <w:sz w:val="12"/>
        <w:szCs w:val="12"/>
        <w:lang w:val="en-GB"/>
      </w:rPr>
    </w:pPr>
    <w:r>
      <w:rPr>
        <w:sz w:val="12"/>
        <w:szCs w:val="12"/>
        <w:lang w:val="en-GB"/>
      </w:rPr>
      <w:t>G</w:t>
    </w:r>
    <w:r w:rsidR="00697F93">
      <w:rPr>
        <w:sz w:val="12"/>
        <w:szCs w:val="12"/>
        <w:lang w:val="en-GB"/>
      </w:rPr>
      <w:t>PC SIPP Ltd</w:t>
    </w:r>
    <w:r>
      <w:rPr>
        <w:sz w:val="12"/>
        <w:szCs w:val="12"/>
        <w:lang w:val="en-GB"/>
      </w:rPr>
      <w:t xml:space="preserve"> is a member of the Association of Member Directed Pension Scheme (AMPS)</w:t>
    </w:r>
  </w:p>
  <w:p w14:paraId="6DE27D43" w14:textId="77777777" w:rsidR="00AE64B4" w:rsidRDefault="00AE64B4" w:rsidP="00AE64B4">
    <w:pPr>
      <w:pStyle w:val="Footer"/>
      <w:jc w:val="both"/>
      <w:rPr>
        <w:sz w:val="12"/>
        <w:szCs w:val="12"/>
        <w:lang w:val="en-GB"/>
      </w:rPr>
    </w:pPr>
  </w:p>
  <w:p w14:paraId="24EC57AC" w14:textId="77777777" w:rsidR="00AE64B4" w:rsidRPr="000A7C0F" w:rsidRDefault="00AE64B4" w:rsidP="00AE64B4">
    <w:pPr>
      <w:pStyle w:val="Footer"/>
      <w:jc w:val="both"/>
      <w:rPr>
        <w:b/>
        <w:sz w:val="12"/>
        <w:szCs w:val="12"/>
        <w:lang w:val="en-GB"/>
      </w:rPr>
    </w:pPr>
    <w:r w:rsidRPr="000A7C0F">
      <w:rPr>
        <w:b/>
        <w:sz w:val="12"/>
        <w:szCs w:val="12"/>
        <w:lang w:val="en-GB"/>
      </w:rPr>
      <w:t>www.g</w:t>
    </w:r>
    <w:r w:rsidR="00697F93">
      <w:rPr>
        <w:b/>
        <w:sz w:val="12"/>
        <w:szCs w:val="12"/>
        <w:lang w:val="en-GB"/>
      </w:rPr>
      <w:t>pcsipp</w:t>
    </w:r>
    <w:r w:rsidRPr="000A7C0F">
      <w:rPr>
        <w:b/>
        <w:sz w:val="12"/>
        <w:szCs w:val="12"/>
        <w:lang w:val="en-GB"/>
      </w:rPr>
      <w:t>.co.uk</w:t>
    </w:r>
  </w:p>
  <w:p w14:paraId="19EC1D5B" w14:textId="77777777" w:rsidR="00AE64B4" w:rsidRDefault="00AE6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757B" w14:textId="77777777" w:rsidR="00BB75F9" w:rsidRDefault="00BB75F9" w:rsidP="007C4701">
      <w:pPr>
        <w:spacing w:after="0" w:line="240" w:lineRule="auto"/>
      </w:pPr>
      <w:r>
        <w:separator/>
      </w:r>
    </w:p>
  </w:footnote>
  <w:footnote w:type="continuationSeparator" w:id="0">
    <w:p w14:paraId="311CFADF" w14:textId="77777777" w:rsidR="00BB75F9" w:rsidRDefault="00BB75F9" w:rsidP="007C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BCF"/>
    <w:multiLevelType w:val="hybridMultilevel"/>
    <w:tmpl w:val="54F21B8A"/>
    <w:lvl w:ilvl="0" w:tplc="8C8EAE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476B"/>
    <w:multiLevelType w:val="hybridMultilevel"/>
    <w:tmpl w:val="36A02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1BD8"/>
    <w:multiLevelType w:val="hybridMultilevel"/>
    <w:tmpl w:val="B4942940"/>
    <w:lvl w:ilvl="0" w:tplc="8C8EAE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D0AF3"/>
    <w:multiLevelType w:val="hybridMultilevel"/>
    <w:tmpl w:val="62BC5B3A"/>
    <w:lvl w:ilvl="0" w:tplc="C04EE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20FA"/>
    <w:multiLevelType w:val="hybridMultilevel"/>
    <w:tmpl w:val="9C888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23FB"/>
    <w:multiLevelType w:val="hybridMultilevel"/>
    <w:tmpl w:val="BC4E848A"/>
    <w:lvl w:ilvl="0" w:tplc="6AE8C9E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60448C"/>
    <w:multiLevelType w:val="hybridMultilevel"/>
    <w:tmpl w:val="09348E36"/>
    <w:lvl w:ilvl="0" w:tplc="2C3420A0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C025883"/>
    <w:multiLevelType w:val="hybridMultilevel"/>
    <w:tmpl w:val="5B32F300"/>
    <w:lvl w:ilvl="0" w:tplc="8C8EAE9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F5987"/>
    <w:multiLevelType w:val="hybridMultilevel"/>
    <w:tmpl w:val="7AE87326"/>
    <w:lvl w:ilvl="0" w:tplc="03728BE6"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2E4E"/>
    <w:multiLevelType w:val="hybridMultilevel"/>
    <w:tmpl w:val="36884690"/>
    <w:lvl w:ilvl="0" w:tplc="F12CABB8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888"/>
    <w:rsid w:val="000018C2"/>
    <w:rsid w:val="000133CD"/>
    <w:rsid w:val="00031265"/>
    <w:rsid w:val="00033262"/>
    <w:rsid w:val="0006755F"/>
    <w:rsid w:val="000A4A97"/>
    <w:rsid w:val="000A5968"/>
    <w:rsid w:val="000F2D1A"/>
    <w:rsid w:val="00113BEA"/>
    <w:rsid w:val="00135703"/>
    <w:rsid w:val="001458D9"/>
    <w:rsid w:val="001472EE"/>
    <w:rsid w:val="001A5CD6"/>
    <w:rsid w:val="001C5522"/>
    <w:rsid w:val="001E2C27"/>
    <w:rsid w:val="002246B1"/>
    <w:rsid w:val="002405F6"/>
    <w:rsid w:val="002706DE"/>
    <w:rsid w:val="002720DD"/>
    <w:rsid w:val="0028105C"/>
    <w:rsid w:val="00297B10"/>
    <w:rsid w:val="002A556A"/>
    <w:rsid w:val="002B05A1"/>
    <w:rsid w:val="002C7590"/>
    <w:rsid w:val="002F6923"/>
    <w:rsid w:val="00310EAC"/>
    <w:rsid w:val="00320D6A"/>
    <w:rsid w:val="00324500"/>
    <w:rsid w:val="00330868"/>
    <w:rsid w:val="003366AB"/>
    <w:rsid w:val="00346DCF"/>
    <w:rsid w:val="0035033D"/>
    <w:rsid w:val="003A41D1"/>
    <w:rsid w:val="003B577B"/>
    <w:rsid w:val="003E0031"/>
    <w:rsid w:val="003E7DB2"/>
    <w:rsid w:val="003F4162"/>
    <w:rsid w:val="00445D03"/>
    <w:rsid w:val="00447CDE"/>
    <w:rsid w:val="004A225E"/>
    <w:rsid w:val="004D75E4"/>
    <w:rsid w:val="004F127B"/>
    <w:rsid w:val="004F38C4"/>
    <w:rsid w:val="00502017"/>
    <w:rsid w:val="005C646F"/>
    <w:rsid w:val="005E1EA6"/>
    <w:rsid w:val="00611795"/>
    <w:rsid w:val="00627CF5"/>
    <w:rsid w:val="006455C9"/>
    <w:rsid w:val="00675B31"/>
    <w:rsid w:val="00697F93"/>
    <w:rsid w:val="006B2502"/>
    <w:rsid w:val="006D3321"/>
    <w:rsid w:val="006E6241"/>
    <w:rsid w:val="00701976"/>
    <w:rsid w:val="00720D9E"/>
    <w:rsid w:val="007668B9"/>
    <w:rsid w:val="0077784F"/>
    <w:rsid w:val="00797B57"/>
    <w:rsid w:val="00797C66"/>
    <w:rsid w:val="007C4701"/>
    <w:rsid w:val="007E5CFC"/>
    <w:rsid w:val="007E781A"/>
    <w:rsid w:val="00824302"/>
    <w:rsid w:val="00852F67"/>
    <w:rsid w:val="0085373A"/>
    <w:rsid w:val="00881595"/>
    <w:rsid w:val="008826C2"/>
    <w:rsid w:val="008A4D4D"/>
    <w:rsid w:val="009138DF"/>
    <w:rsid w:val="00954788"/>
    <w:rsid w:val="00960210"/>
    <w:rsid w:val="009669E5"/>
    <w:rsid w:val="0098505A"/>
    <w:rsid w:val="00993796"/>
    <w:rsid w:val="009B6A7D"/>
    <w:rsid w:val="009F7595"/>
    <w:rsid w:val="00A14130"/>
    <w:rsid w:val="00A223B9"/>
    <w:rsid w:val="00A769ED"/>
    <w:rsid w:val="00AA1D9D"/>
    <w:rsid w:val="00AB5835"/>
    <w:rsid w:val="00AC607A"/>
    <w:rsid w:val="00AC6D2B"/>
    <w:rsid w:val="00AE64B4"/>
    <w:rsid w:val="00B05D03"/>
    <w:rsid w:val="00B238AD"/>
    <w:rsid w:val="00B53DE4"/>
    <w:rsid w:val="00B707F2"/>
    <w:rsid w:val="00B75C5E"/>
    <w:rsid w:val="00B86ADA"/>
    <w:rsid w:val="00BB75F9"/>
    <w:rsid w:val="00BB7B70"/>
    <w:rsid w:val="00BC379F"/>
    <w:rsid w:val="00BE636E"/>
    <w:rsid w:val="00BE74D0"/>
    <w:rsid w:val="00C177DB"/>
    <w:rsid w:val="00C65D07"/>
    <w:rsid w:val="00C70CDF"/>
    <w:rsid w:val="00CC28D3"/>
    <w:rsid w:val="00CE69D3"/>
    <w:rsid w:val="00D22797"/>
    <w:rsid w:val="00D26039"/>
    <w:rsid w:val="00D35888"/>
    <w:rsid w:val="00D64205"/>
    <w:rsid w:val="00D6482C"/>
    <w:rsid w:val="00D905BF"/>
    <w:rsid w:val="00DA0CF8"/>
    <w:rsid w:val="00DB3BE3"/>
    <w:rsid w:val="00DD4B1E"/>
    <w:rsid w:val="00E06689"/>
    <w:rsid w:val="00E153A2"/>
    <w:rsid w:val="00E334B3"/>
    <w:rsid w:val="00E53C12"/>
    <w:rsid w:val="00E81714"/>
    <w:rsid w:val="00E91796"/>
    <w:rsid w:val="00EB4413"/>
    <w:rsid w:val="00F1674C"/>
    <w:rsid w:val="00F553AD"/>
    <w:rsid w:val="00FB643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569E9EDC"/>
  <w15:docId w15:val="{B03B3AB4-4B82-457C-BD45-A4E77BE3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68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6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69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C470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4701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C47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01"/>
  </w:style>
  <w:style w:type="paragraph" w:styleId="NoSpacing">
    <w:name w:val="No Spacing"/>
    <w:uiPriority w:val="1"/>
    <w:qFormat/>
    <w:rsid w:val="00135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a.gov.uk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EB06F-C935-4A97-86B9-81BF168F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Zoe Morris</cp:lastModifiedBy>
  <cp:revision>25</cp:revision>
  <cp:lastPrinted>2016-08-31T12:32:00Z</cp:lastPrinted>
  <dcterms:created xsi:type="dcterms:W3CDTF">2016-02-12T12:11:00Z</dcterms:created>
  <dcterms:modified xsi:type="dcterms:W3CDTF">2019-09-27T10:28:00Z</dcterms:modified>
</cp:coreProperties>
</file>